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73EF" w14:textId="28A413D5" w:rsidR="00771684" w:rsidRPr="00731E6E" w:rsidRDefault="000F2EB7" w:rsidP="00731E6E">
      <w:pPr>
        <w:tabs>
          <w:tab w:val="left" w:pos="2651"/>
        </w:tabs>
        <w:spacing w:line="200" w:lineRule="atLeast"/>
        <w:ind w:left="141"/>
      </w:pPr>
      <w:r>
        <w:rPr>
          <w:position w:val="5"/>
          <w:lang w:val="es"/>
        </w:rPr>
      </w:r>
      <w:r>
        <w:rPr>
          <w:position w:val="5"/>
          <w:lang w:val="es"/>
        </w:rPr>
        <w:pict w14:anchorId="0E346824">
          <v:group id="_x0000_s2061" style="width:81pt;height:97.45pt;mso-position-horizontal-relative:char;mso-position-vertical-relative:line" coordsize="1620,1949">
            <v:group id="_x0000_s2062" style="position:absolute;left:98;top:876;width:60;height:24" coordorigin="98,876" coordsize="60,24">
              <v:shape id="_x0000_s2063" style="position:absolute;left:98;top:876;width:60;height:24" coordorigin="98,876" coordsize="60,24" path="m98,888r60,e" filled="f" strokeweight="1.3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width:1620;height:1949">
                <v:imagedata r:id="rId11" o:title=""/>
              </v:shape>
            </v:group>
            <w10:anchorlock/>
          </v:group>
        </w:pict>
      </w:r>
      <w:r>
        <w:pict w14:anchorId="0F18C5EF">
          <v:group id="_x0000_s2071" style="width:451.4pt;height:129.3pt;mso-position-horizontal-relative:char;mso-position-vertical-relative:line" coordsize="8363,2005">
            <v:shape id="_x0000_s2072" type="#_x0000_t75" style="position:absolute;left:10;width:8352;height:1939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top:854;width:8331;height:1152" filled="f" stroked="f">
              <v:textbox style="mso-next-textbox:#_x0000_s2073" inset="0,0,0,0">
                <w:txbxContent>
                  <w:p w14:paraId="5A8D133C" w14:textId="4293ADE0" w:rsidR="007E23E4" w:rsidRDefault="007E23E4" w:rsidP="007E23E4">
                    <w:pPr>
                      <w:spacing w:line="265" w:lineRule="exact"/>
                      <w:ind w:right="18"/>
                      <w:jc w:val="right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b/>
                        <w:i/>
                        <w:color w:val="656599"/>
                        <w:spacing w:val="-1"/>
                        <w:lang w:val="es"/>
                      </w:rPr>
                      <w:t xml:space="preserve">Oficina </w:t>
                    </w:r>
                    <w:r>
                      <w:rPr>
                        <w:b/>
                        <w:i/>
                        <w:color w:val="656599"/>
                        <w:lang w:val="es"/>
                      </w:rPr>
                      <w:t xml:space="preserve">del </w:t>
                    </w:r>
                    <w:r w:rsidR="00642B13">
                      <w:rPr>
                        <w:b/>
                        <w:i/>
                        <w:color w:val="656599"/>
                        <w:lang w:val="es"/>
                      </w:rPr>
                      <w:t>Mariscal</w:t>
                    </w:r>
                    <w:r>
                      <w:rPr>
                        <w:b/>
                        <w:i/>
                        <w:color w:val="656599"/>
                        <w:lang w:val="es"/>
                      </w:rPr>
                      <w:t xml:space="preserve"> de Bomberos</w:t>
                    </w:r>
                  </w:p>
                  <w:p w14:paraId="7127BDE2" w14:textId="4188C49A" w:rsidR="007E23E4" w:rsidRPr="00F745D2" w:rsidRDefault="007E23E4" w:rsidP="007E23E4">
                    <w:pPr>
                      <w:spacing w:before="143" w:line="365" w:lineRule="exact"/>
                      <w:ind w:left="32" w:right="2381"/>
                      <w:jc w:val="center"/>
                      <w:rPr>
                        <w:b/>
                        <w:spacing w:val="-1"/>
                        <w:sz w:val="32"/>
                      </w:rPr>
                    </w:pP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Requisitos de la </w:t>
                    </w:r>
                    <w:r w:rsidR="00642B13">
                      <w:rPr>
                        <w:b/>
                        <w:spacing w:val="-1"/>
                        <w:sz w:val="32"/>
                        <w:lang w:val="es"/>
                      </w:rPr>
                      <w:t>R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evisión del plan </w:t>
                    </w:r>
                    <w:r w:rsidR="00F40355">
                      <w:rPr>
                        <w:b/>
                        <w:spacing w:val="-1"/>
                        <w:sz w:val="32"/>
                        <w:lang w:val="es"/>
                      </w:rPr>
                      <w:t>E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>xprés para los sistemas de</w:t>
                    </w:r>
                    <w:r>
                      <w:rPr>
                        <w:lang w:val="es"/>
                      </w:rPr>
                      <w:t xml:space="preserve"> </w:t>
                    </w:r>
                    <w:r w:rsidR="00F40355">
                      <w:rPr>
                        <w:b/>
                        <w:spacing w:val="-1"/>
                        <w:sz w:val="32"/>
                        <w:lang w:val="es"/>
                      </w:rPr>
                      <w:t>E</w:t>
                    </w:r>
                    <w:r w:rsidR="001253D1">
                      <w:rPr>
                        <w:b/>
                        <w:spacing w:val="-1"/>
                        <w:sz w:val="32"/>
                        <w:lang w:val="es"/>
                      </w:rPr>
                      <w:t xml:space="preserve">xtinción y </w:t>
                    </w:r>
                    <w:r w:rsidR="00F40355">
                      <w:rPr>
                        <w:b/>
                        <w:spacing w:val="-1"/>
                        <w:sz w:val="32"/>
                        <w:lang w:val="es"/>
                      </w:rPr>
                      <w:t>R</w:t>
                    </w:r>
                    <w:r w:rsidR="001253D1">
                      <w:rPr>
                        <w:b/>
                        <w:spacing w:val="-1"/>
                        <w:sz w:val="32"/>
                        <w:lang w:val="es"/>
                      </w:rPr>
                      <w:t xml:space="preserve">ociadores </w:t>
                    </w:r>
                    <w:r w:rsidR="00F40355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C</w:t>
                    </w:r>
                    <w:r w:rsidRPr="009D201A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 xml:space="preserve">ontra </w:t>
                    </w:r>
                    <w:r w:rsidR="00315138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I</w:t>
                    </w:r>
                    <w:r w:rsidRPr="00315138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ncendios</w:t>
                    </w:r>
                  </w:p>
                  <w:p w14:paraId="1CAC862F" w14:textId="77777777" w:rsidR="007E23E4" w:rsidRDefault="007E23E4" w:rsidP="007E23E4">
                    <w:pPr>
                      <w:spacing w:before="143" w:line="365" w:lineRule="exact"/>
                      <w:ind w:left="32" w:right="2381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  <w:r w:rsidR="00F745D2" w:rsidRPr="004625F3">
        <w:rPr>
          <w:position w:val="5"/>
          <w:lang w:val="es"/>
        </w:rPr>
        <w:tab/>
      </w:r>
    </w:p>
    <w:p w14:paraId="6BD8909B" w14:textId="77777777" w:rsidR="00D561A1" w:rsidRPr="00F745D2" w:rsidRDefault="00D561A1" w:rsidP="00D561A1">
      <w:pPr>
        <w:jc w:val="center"/>
        <w:rPr>
          <w:u w:val="single"/>
        </w:rPr>
      </w:pPr>
    </w:p>
    <w:p w14:paraId="6E308304" w14:textId="5EEF6E60" w:rsidR="007E23E4" w:rsidRPr="00731E6E" w:rsidRDefault="00F745D2" w:rsidP="00731E6E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2"/>
          <w:szCs w:val="22"/>
        </w:rPr>
      </w:pP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El </w:t>
      </w:r>
      <w:r w:rsidR="21213338" w:rsidRPr="00731E6E">
        <w:rPr>
          <w:b/>
          <w:bCs/>
          <w:spacing w:val="-1"/>
          <w:sz w:val="22"/>
          <w:szCs w:val="22"/>
          <w:u w:val="thick" w:color="000000"/>
          <w:lang w:val="es"/>
        </w:rPr>
        <w:t>S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ervicio de </w:t>
      </w:r>
      <w:r w:rsidR="445E3090" w:rsidRPr="00731E6E">
        <w:rPr>
          <w:b/>
          <w:bCs/>
          <w:spacing w:val="-1"/>
          <w:sz w:val="22"/>
          <w:szCs w:val="22"/>
          <w:u w:val="thick" w:color="000000"/>
          <w:lang w:val="es"/>
        </w:rPr>
        <w:t>R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evisión </w:t>
      </w:r>
      <w:r w:rsidR="4E630383" w:rsidRPr="00731E6E">
        <w:rPr>
          <w:b/>
          <w:bCs/>
          <w:spacing w:val="-1"/>
          <w:sz w:val="22"/>
          <w:szCs w:val="22"/>
          <w:u w:val="thick" w:color="000000"/>
          <w:lang w:val="es"/>
        </w:rPr>
        <w:t>E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xprés </w:t>
      </w:r>
      <w:r w:rsidRPr="29A7EC81">
        <w:rPr>
          <w:spacing w:val="-1"/>
          <w:sz w:val="22"/>
          <w:szCs w:val="22"/>
          <w:lang w:val="es"/>
        </w:rPr>
        <w:t>del plan de incendios</w:t>
      </w:r>
      <w:r w:rsidRPr="00731E6E">
        <w:rPr>
          <w:sz w:val="22"/>
          <w:szCs w:val="22"/>
          <w:lang w:val="es"/>
        </w:rPr>
        <w:t xml:space="preserve"> es</w:t>
      </w:r>
      <w:r>
        <w:rPr>
          <w:lang w:val="es"/>
        </w:rPr>
        <w:t xml:space="preserve"> </w:t>
      </w:r>
      <w:r w:rsidRPr="00265F18">
        <w:rPr>
          <w:sz w:val="22"/>
          <w:szCs w:val="22"/>
          <w:lang w:val="es"/>
        </w:rPr>
        <w:t xml:space="preserve">para proyectos de </w:t>
      </w:r>
      <w:r w:rsidR="001253D1">
        <w:rPr>
          <w:sz w:val="22"/>
          <w:szCs w:val="22"/>
          <w:lang w:val="es"/>
        </w:rPr>
        <w:t xml:space="preserve">rociadores y </w:t>
      </w:r>
      <w:r w:rsidRPr="00731E6E">
        <w:rPr>
          <w:sz w:val="22"/>
          <w:szCs w:val="22"/>
          <w:lang w:val="es"/>
        </w:rPr>
        <w:t>sistemas de extinción de incendios que requerirán menos de 60 minutos para revisar. Este servicio</w:t>
      </w:r>
      <w:r w:rsidR="00821408">
        <w:rPr>
          <w:sz w:val="22"/>
          <w:szCs w:val="22"/>
          <w:lang w:val="es"/>
        </w:rPr>
        <w:t xml:space="preserve"> se destina</w:t>
      </w:r>
      <w:r w:rsidRPr="00731E6E">
        <w:rPr>
          <w:sz w:val="22"/>
          <w:szCs w:val="22"/>
          <w:lang w:val="es"/>
        </w:rPr>
        <w:t xml:space="preserve"> a proyectos de mejora</w:t>
      </w:r>
      <w:r w:rsidR="00821408">
        <w:rPr>
          <w:sz w:val="22"/>
          <w:szCs w:val="22"/>
          <w:lang w:val="es"/>
        </w:rPr>
        <w:t>s</w:t>
      </w:r>
      <w:r w:rsidRPr="00731E6E">
        <w:rPr>
          <w:sz w:val="22"/>
          <w:szCs w:val="22"/>
          <w:lang w:val="es"/>
        </w:rPr>
        <w:t xml:space="preserve"> </w:t>
      </w:r>
      <w:r w:rsidR="00821408">
        <w:rPr>
          <w:sz w:val="22"/>
          <w:szCs w:val="22"/>
          <w:lang w:val="es"/>
        </w:rPr>
        <w:t>en propiedad</w:t>
      </w:r>
      <w:r w:rsidRPr="00731E6E">
        <w:rPr>
          <w:sz w:val="22"/>
          <w:szCs w:val="22"/>
          <w:lang w:val="es"/>
        </w:rPr>
        <w:t xml:space="preserve"> por las siguientes condiciones:</w:t>
      </w:r>
      <w:r w:rsidR="007E23E4" w:rsidRPr="00731E6E">
        <w:rPr>
          <w:sz w:val="22"/>
          <w:szCs w:val="22"/>
          <w:lang w:val="es"/>
        </w:rPr>
        <w:br/>
      </w:r>
    </w:p>
    <w:p w14:paraId="561F2245" w14:textId="77777777" w:rsidR="00F745D2" w:rsidRPr="00731E6E" w:rsidRDefault="007E23E4" w:rsidP="00731E6E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La adición de menos de 20 aspersores,</w:t>
      </w:r>
      <w:r w:rsidRPr="00731E6E">
        <w:rPr>
          <w:sz w:val="22"/>
          <w:szCs w:val="22"/>
          <w:lang w:val="es"/>
        </w:rPr>
        <w:br/>
      </w:r>
    </w:p>
    <w:p w14:paraId="0372879D" w14:textId="77777777" w:rsidR="00F745D2" w:rsidRPr="00731E6E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Reubicación de menos de 100 aspersores sin tener que recalcular el sistema existente,</w:t>
      </w:r>
      <w:r w:rsidR="007E23E4" w:rsidRPr="00731E6E">
        <w:rPr>
          <w:sz w:val="22"/>
          <w:szCs w:val="22"/>
          <w:lang w:val="es"/>
        </w:rPr>
        <w:br/>
      </w:r>
    </w:p>
    <w:p w14:paraId="5BC93DA4" w14:textId="615FFEC5" w:rsidR="007E23E4" w:rsidRPr="00731E6E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Sistemas de </w:t>
      </w:r>
      <w:r w:rsidR="00AA69E6">
        <w:rPr>
          <w:sz w:val="22"/>
          <w:szCs w:val="22"/>
          <w:lang w:val="es"/>
        </w:rPr>
        <w:t xml:space="preserve">extinción </w:t>
      </w:r>
      <w:r>
        <w:rPr>
          <w:lang w:val="es"/>
        </w:rPr>
        <w:t xml:space="preserve">fijos simples </w:t>
      </w:r>
      <w:r w:rsidR="00C3168D" w:rsidRPr="00731E6E">
        <w:rPr>
          <w:sz w:val="22"/>
          <w:szCs w:val="22"/>
          <w:lang w:val="es"/>
        </w:rPr>
        <w:t>(campana y conducto)</w:t>
      </w:r>
      <w:r w:rsidR="00AA69E6">
        <w:rPr>
          <w:sz w:val="22"/>
          <w:szCs w:val="22"/>
          <w:lang w:val="es"/>
        </w:rPr>
        <w:t xml:space="preserve"> que involucran 3 o menos campanas</w:t>
      </w:r>
      <w:r w:rsidR="007E23E4" w:rsidRPr="00731E6E">
        <w:rPr>
          <w:sz w:val="22"/>
          <w:szCs w:val="22"/>
          <w:lang w:val="es"/>
        </w:rPr>
        <w:t>,</w:t>
      </w:r>
      <w:r w:rsidR="007E23E4" w:rsidRPr="00731E6E">
        <w:rPr>
          <w:sz w:val="22"/>
          <w:szCs w:val="22"/>
          <w:lang w:val="es"/>
        </w:rPr>
        <w:br/>
      </w:r>
    </w:p>
    <w:p w14:paraId="524EB1D7" w14:textId="77777777" w:rsidR="00F745D2" w:rsidRPr="00731E6E" w:rsidRDefault="007E23E4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Sistemas Simples de Servicio de Bomberos Subterráneos</w:t>
      </w:r>
      <w:r w:rsidR="00AA69E6">
        <w:rPr>
          <w:sz w:val="22"/>
          <w:szCs w:val="22"/>
          <w:lang w:val="es"/>
        </w:rPr>
        <w:t xml:space="preserve"> que involucran 5 o menos accesorios</w:t>
      </w:r>
      <w:r w:rsidR="005D6940" w:rsidRPr="00731E6E">
        <w:rPr>
          <w:sz w:val="22"/>
          <w:szCs w:val="22"/>
          <w:lang w:val="es"/>
        </w:rPr>
        <w:t>,</w:t>
      </w:r>
      <w:r w:rsidR="005D6940" w:rsidRPr="00731E6E">
        <w:rPr>
          <w:sz w:val="22"/>
          <w:szCs w:val="22"/>
          <w:lang w:val="es"/>
        </w:rPr>
        <w:br/>
      </w:r>
    </w:p>
    <w:p w14:paraId="30096936" w14:textId="77777777" w:rsidR="00F745D2" w:rsidRPr="00731E6E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Los proyectos más grandes o más involucrados (incluidas las nuevas construcciones) no califican para la revisión de Fire Express.</w:t>
      </w:r>
    </w:p>
    <w:p w14:paraId="741609DE" w14:textId="77777777" w:rsidR="00EB4F5C" w:rsidRPr="00731E6E" w:rsidRDefault="00EB4F5C" w:rsidP="002C13DC">
      <w:pPr>
        <w:rPr>
          <w:sz w:val="22"/>
          <w:szCs w:val="22"/>
        </w:rPr>
      </w:pPr>
    </w:p>
    <w:p w14:paraId="0C856DE8" w14:textId="0C0670AF" w:rsidR="007E23E4" w:rsidRPr="00731E6E" w:rsidRDefault="002C13DC" w:rsidP="007E23E4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2"/>
          <w:szCs w:val="22"/>
        </w:rPr>
      </w:pP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Tarifas </w:t>
      </w:r>
      <w:r w:rsidR="52488C38" w:rsidRPr="00731E6E">
        <w:rPr>
          <w:b/>
          <w:bCs/>
          <w:spacing w:val="-1"/>
          <w:sz w:val="22"/>
          <w:szCs w:val="22"/>
          <w:u w:val="thick" w:color="000000"/>
          <w:lang w:val="es"/>
        </w:rPr>
        <w:t>y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 </w:t>
      </w:r>
      <w:r w:rsidR="74433F95" w:rsidRPr="00731E6E">
        <w:rPr>
          <w:b/>
          <w:bCs/>
          <w:spacing w:val="-1"/>
          <w:sz w:val="22"/>
          <w:szCs w:val="22"/>
          <w:u w:val="thick" w:color="000000"/>
          <w:lang w:val="es"/>
        </w:rPr>
        <w:t>I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 xml:space="preserve">nformación sobre </w:t>
      </w:r>
      <w:r w:rsidR="42F3DCB2" w:rsidRPr="00731E6E">
        <w:rPr>
          <w:b/>
          <w:bCs/>
          <w:spacing w:val="-1"/>
          <w:sz w:val="22"/>
          <w:szCs w:val="22"/>
          <w:u w:val="thick" w:color="000000"/>
          <w:lang w:val="es"/>
        </w:rPr>
        <w:t>C</w:t>
      </w: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>itas</w:t>
      </w:r>
      <w:r w:rsidR="00C3168D" w:rsidRPr="00731E6E">
        <w:rPr>
          <w:b/>
          <w:bCs/>
          <w:spacing w:val="-1"/>
          <w:sz w:val="22"/>
          <w:szCs w:val="22"/>
          <w:u w:val="thick" w:color="000000"/>
          <w:lang w:val="es"/>
        </w:rPr>
        <w:br/>
      </w:r>
    </w:p>
    <w:p w14:paraId="75D61241" w14:textId="77777777" w:rsidR="002C13DC" w:rsidRPr="00731E6E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La tarifa por la revisión exprés del plan es 1.5 veces la tarifa de verificación del plan por hora. </w:t>
      </w:r>
      <w:r w:rsidR="002C13DC" w:rsidRPr="00731E6E">
        <w:rPr>
          <w:sz w:val="22"/>
          <w:szCs w:val="22"/>
          <w:lang w:val="es"/>
        </w:rPr>
        <w:br/>
      </w:r>
    </w:p>
    <w:p w14:paraId="30873190" w14:textId="77777777" w:rsidR="007967AB" w:rsidRPr="00731E6E" w:rsidRDefault="007967AB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Si llega tarde a la hora programada de su cita, puede perder su cita. Se le cobrará la tarifa mínima de 1 hora por incendio de revisión del plan. El personal puede ayudarlo a programar otra cita, aunque es preferible que reprograme su propia cita.</w:t>
      </w:r>
      <w:r w:rsidRPr="00731E6E">
        <w:rPr>
          <w:sz w:val="22"/>
          <w:szCs w:val="22"/>
          <w:lang w:val="es"/>
        </w:rPr>
        <w:br/>
      </w:r>
    </w:p>
    <w:p w14:paraId="4D853528" w14:textId="2CD5D831" w:rsidR="007967AB" w:rsidRPr="00731E6E" w:rsidRDefault="00F745D2" w:rsidP="0039002C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29A7EC81">
        <w:rPr>
          <w:sz w:val="22"/>
          <w:szCs w:val="22"/>
          <w:lang w:val="es"/>
        </w:rPr>
        <w:t xml:space="preserve">Las citas perdidas o cancelaciones dentro de las 24 horas </w:t>
      </w:r>
      <w:r w:rsidR="32147C37" w:rsidRPr="29A7EC81">
        <w:rPr>
          <w:sz w:val="22"/>
          <w:szCs w:val="22"/>
          <w:lang w:val="es"/>
        </w:rPr>
        <w:t>de</w:t>
      </w:r>
      <w:r w:rsidRPr="29A7EC81">
        <w:rPr>
          <w:sz w:val="22"/>
          <w:szCs w:val="22"/>
          <w:lang w:val="es"/>
        </w:rPr>
        <w:t xml:space="preserve"> la hora programada de revisión del plan, se facturarán al solicitante y/o contratista, por un mínimo de una hora o por la cantidad de tiempo programada (citas múltiples) y se considerarán una cita perdida. </w:t>
      </w:r>
      <w:r>
        <w:br/>
      </w:r>
    </w:p>
    <w:p w14:paraId="0A552331" w14:textId="77777777" w:rsidR="00C31121" w:rsidRPr="00731E6E" w:rsidRDefault="007967AB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Si acumula más de 3 renuncias dentro de un período de 12 meses, usted y la compañía que representa, ya no serán elegibles para las citas de revisión exprés de incendios.</w:t>
      </w:r>
      <w:r w:rsidR="000534F2" w:rsidRPr="00731E6E">
        <w:rPr>
          <w:sz w:val="22"/>
          <w:szCs w:val="22"/>
          <w:lang w:val="es"/>
        </w:rPr>
        <w:br/>
      </w:r>
    </w:p>
    <w:p w14:paraId="7F33B23D" w14:textId="77777777" w:rsidR="00C31121" w:rsidRPr="00731E6E" w:rsidRDefault="00C31121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El solicitante/contratista debe anticipar el uso de todo el tiempo de la cita:</w:t>
      </w:r>
      <w:r w:rsidR="000534F2" w:rsidRPr="00731E6E">
        <w:rPr>
          <w:sz w:val="22"/>
          <w:szCs w:val="22"/>
          <w:lang w:val="es"/>
        </w:rPr>
        <w:br/>
      </w:r>
    </w:p>
    <w:p w14:paraId="7D49CB23" w14:textId="77777777" w:rsidR="00C31121" w:rsidRPr="00731E6E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Inicialmente reúnase (ya sea cara a cara o virtualmente) con el especialista en permisos para completar el proceso de admisión </w:t>
      </w:r>
      <w:r w:rsidR="000534F2" w:rsidRPr="00731E6E">
        <w:rPr>
          <w:sz w:val="22"/>
          <w:szCs w:val="22"/>
          <w:lang w:val="es"/>
        </w:rPr>
        <w:br/>
      </w:r>
    </w:p>
    <w:p w14:paraId="1302FD05" w14:textId="77777777" w:rsidR="00C31121" w:rsidRPr="00731E6E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Luego reúnase (de la misma manera) con el personal de revisión del plan para completar la revisión exprés</w:t>
      </w:r>
      <w:r w:rsidR="000534F2" w:rsidRPr="00731E6E">
        <w:rPr>
          <w:sz w:val="22"/>
          <w:szCs w:val="22"/>
          <w:lang w:val="es"/>
        </w:rPr>
        <w:br/>
      </w:r>
    </w:p>
    <w:p w14:paraId="74B173AB" w14:textId="77777777" w:rsidR="00C31121" w:rsidRPr="00731E6E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Finalmente, obtenga las tarifas finales y el acceso a los planos y documentos aprobados por el especialista en permisos. </w:t>
      </w:r>
      <w:r w:rsidR="000534F2" w:rsidRPr="00731E6E">
        <w:rPr>
          <w:sz w:val="22"/>
          <w:szCs w:val="22"/>
          <w:lang w:val="es"/>
        </w:rPr>
        <w:br/>
      </w:r>
    </w:p>
    <w:p w14:paraId="56AF5291" w14:textId="557EC9D1" w:rsidR="00731E6E" w:rsidRPr="00731E6E" w:rsidRDefault="00C31121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29A7EC81">
        <w:rPr>
          <w:sz w:val="22"/>
          <w:szCs w:val="22"/>
          <w:lang w:val="es"/>
        </w:rPr>
        <w:t>Todas las citas están sujetas a ajustes por parte del examinador del plan o un aviso con más de 24 horas de anticipación.</w:t>
      </w:r>
    </w:p>
    <w:p w14:paraId="1EFF70CD" w14:textId="36B4E1F5" w:rsidR="00731E6E" w:rsidRDefault="0039002C" w:rsidP="007967AB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lastRenderedPageBreak/>
        <w:t>Si se presenta un proyecto que no se puede completar dentro del tiempo asignado, el proyecto puede ser rechazado o la revisión completada por el verificador de planes como revisión estándar.</w:t>
      </w:r>
      <w:r w:rsidR="0069789F">
        <w:rPr>
          <w:sz w:val="22"/>
          <w:szCs w:val="22"/>
          <w:lang w:val="es"/>
        </w:rPr>
        <w:t xml:space="preserve"> </w:t>
      </w:r>
      <w:r w:rsidR="000534F2" w:rsidRPr="00731E6E">
        <w:rPr>
          <w:sz w:val="22"/>
          <w:szCs w:val="22"/>
          <w:lang w:val="es"/>
        </w:rPr>
        <w:br/>
      </w:r>
    </w:p>
    <w:p w14:paraId="48972012" w14:textId="77777777" w:rsidR="00C31121" w:rsidRPr="00731E6E" w:rsidRDefault="00731E6E" w:rsidP="00731E6E">
      <w:pPr>
        <w:tabs>
          <w:tab w:val="left" w:pos="1620"/>
        </w:tabs>
        <w:ind w:left="16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B623D6" w14:textId="77777777" w:rsidR="000534F2" w:rsidRPr="00731E6E" w:rsidRDefault="000534F2" w:rsidP="000534F2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b/>
          <w:bCs/>
          <w:spacing w:val="-1"/>
          <w:sz w:val="22"/>
          <w:szCs w:val="22"/>
          <w:u w:val="thick" w:color="000000"/>
        </w:rPr>
      </w:pP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>Información de la aplicación</w:t>
      </w:r>
      <w:r w:rsidR="00C3168D" w:rsidRPr="00731E6E">
        <w:rPr>
          <w:b/>
          <w:bCs/>
          <w:spacing w:val="-1"/>
          <w:sz w:val="22"/>
          <w:szCs w:val="22"/>
          <w:u w:val="thick" w:color="000000"/>
          <w:lang w:val="es"/>
        </w:rPr>
        <w:br/>
      </w:r>
    </w:p>
    <w:p w14:paraId="2E89A5A8" w14:textId="77777777" w:rsidR="000534F2" w:rsidRPr="00731E6E" w:rsidRDefault="000534F2" w:rsidP="001E085F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La siguiente información es necesaria para cada cita. Si falta alguna de la siguiente información o aún no se ha obtenido, será necesario reprogramar su cita.</w:t>
      </w:r>
      <w:r w:rsidRPr="00731E6E">
        <w:rPr>
          <w:sz w:val="22"/>
          <w:szCs w:val="22"/>
          <w:lang w:val="es"/>
        </w:rPr>
        <w:br/>
      </w:r>
    </w:p>
    <w:p w14:paraId="71A4DA7F" w14:textId="77777777" w:rsidR="000534F2" w:rsidRPr="00731E6E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La Directiva de Verificación del Plan del Departamento de Bomberos aprobada  </w:t>
      </w:r>
      <w:r w:rsidRPr="00731E6E">
        <w:rPr>
          <w:sz w:val="22"/>
          <w:szCs w:val="22"/>
          <w:lang w:val="es"/>
        </w:rPr>
        <w:br/>
      </w:r>
    </w:p>
    <w:p w14:paraId="5C5F2A61" w14:textId="77777777" w:rsidR="001E085F" w:rsidRPr="00731E6E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Una solicitud de permiso de sistema contra incendios completada que incluya:</w:t>
      </w:r>
      <w:r w:rsidR="001E085F" w:rsidRPr="00731E6E">
        <w:rPr>
          <w:sz w:val="22"/>
          <w:szCs w:val="22"/>
          <w:lang w:val="es"/>
        </w:rPr>
        <w:br/>
      </w:r>
    </w:p>
    <w:p w14:paraId="49E9A8F9" w14:textId="77777777" w:rsidR="000534F2" w:rsidRPr="00731E6E" w:rsidRDefault="001E085F" w:rsidP="001E085F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El número de permiso de construcción,</w:t>
      </w:r>
      <w:r w:rsidR="000534F2" w:rsidRPr="00731E6E">
        <w:rPr>
          <w:sz w:val="22"/>
          <w:szCs w:val="22"/>
          <w:lang w:val="es"/>
        </w:rPr>
        <w:br/>
      </w:r>
    </w:p>
    <w:p w14:paraId="24043B37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Nombre comercial de la instalación del proyecto y dirección del proyecto, persona de contacto, número de teléfono y dirección de correo electrónico, cruce de la calle más cercano,</w:t>
      </w:r>
      <w:r w:rsidRPr="00731E6E">
        <w:rPr>
          <w:sz w:val="22"/>
          <w:szCs w:val="22"/>
          <w:lang w:val="es"/>
        </w:rPr>
        <w:br/>
      </w:r>
    </w:p>
    <w:p w14:paraId="51606FE4" w14:textId="77777777" w:rsidR="001E085F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 xml:space="preserve">Contratista responsable/instalador, nombre de la empresa, dirección postal, </w:t>
      </w:r>
      <w:r w:rsidR="001E085F" w:rsidRPr="00731E6E">
        <w:rPr>
          <w:sz w:val="22"/>
          <w:szCs w:val="22"/>
          <w:lang w:val="es"/>
        </w:rPr>
        <w:br/>
      </w:r>
    </w:p>
    <w:p w14:paraId="7BB15F88" w14:textId="77777777" w:rsidR="000534F2" w:rsidRPr="00731E6E" w:rsidRDefault="001E085F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Nombre, cargo, dirección de correo electrónico y número de teléfono de la persona de contacto,</w:t>
      </w:r>
      <w:r w:rsidR="000534F2" w:rsidRPr="00731E6E">
        <w:rPr>
          <w:sz w:val="22"/>
          <w:szCs w:val="22"/>
          <w:lang w:val="es"/>
        </w:rPr>
        <w:br/>
      </w:r>
    </w:p>
    <w:p w14:paraId="5EAADF36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Licencia comercial válida de la ciudad de San José y fecha de vencimiento,</w:t>
      </w:r>
      <w:r w:rsidRPr="00731E6E">
        <w:rPr>
          <w:sz w:val="22"/>
          <w:szCs w:val="22"/>
          <w:lang w:val="es"/>
        </w:rPr>
        <w:br/>
      </w:r>
    </w:p>
    <w:p w14:paraId="5C420FBB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Número de póliza válido de Compensación para Trabajadores y fecha de vencimiento o exención,</w:t>
      </w:r>
      <w:r w:rsidRPr="00731E6E">
        <w:rPr>
          <w:sz w:val="22"/>
          <w:szCs w:val="22"/>
          <w:lang w:val="es"/>
        </w:rPr>
        <w:br/>
      </w:r>
    </w:p>
    <w:p w14:paraId="6D624F19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Licencia válida de contratistas del estado de California (C-16) y fecha de vencimiento,</w:t>
      </w:r>
      <w:r w:rsidRPr="00731E6E">
        <w:rPr>
          <w:sz w:val="22"/>
          <w:szCs w:val="22"/>
          <w:lang w:val="es"/>
        </w:rPr>
        <w:br/>
      </w:r>
    </w:p>
    <w:p w14:paraId="6F816DF0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Tipo de trabajo propuesto (por ejemplo, mejora del inquilino, demolición, etc.), y</w:t>
      </w:r>
      <w:r w:rsidRPr="00731E6E">
        <w:rPr>
          <w:sz w:val="22"/>
          <w:szCs w:val="22"/>
          <w:lang w:val="es"/>
        </w:rPr>
        <w:br/>
      </w:r>
    </w:p>
    <w:p w14:paraId="536373C4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Tipo de sistema (por ejemplo, sistema de rociadores aéreos, sistema subterráneo, sistema de extinción fijo, etc.).</w:t>
      </w:r>
      <w:r w:rsidRPr="00731E6E">
        <w:rPr>
          <w:sz w:val="22"/>
          <w:szCs w:val="22"/>
          <w:lang w:val="es"/>
        </w:rPr>
        <w:br/>
      </w:r>
    </w:p>
    <w:p w14:paraId="295D0F7B" w14:textId="77777777" w:rsidR="000534F2" w:rsidRPr="00731E6E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Componentes del sistema</w:t>
      </w:r>
      <w:r w:rsidRPr="00731E6E">
        <w:rPr>
          <w:sz w:val="22"/>
          <w:szCs w:val="22"/>
          <w:lang w:val="es"/>
        </w:rPr>
        <w:br/>
      </w:r>
    </w:p>
    <w:p w14:paraId="72279D06" w14:textId="77777777" w:rsidR="000534F2" w:rsidRPr="00731E6E" w:rsidRDefault="000534F2" w:rsidP="0039002C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Número de aspersores (aéreos),</w:t>
      </w:r>
      <w:r w:rsidRPr="00731E6E">
        <w:rPr>
          <w:sz w:val="22"/>
          <w:szCs w:val="22"/>
          <w:lang w:val="es"/>
        </w:rPr>
        <w:br/>
      </w:r>
    </w:p>
    <w:p w14:paraId="74BFE9FC" w14:textId="77777777" w:rsidR="000534F2" w:rsidRPr="00731E6E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Número de boquillas (Ext. fijas), y</w:t>
      </w:r>
      <w:r w:rsidRPr="00731E6E">
        <w:rPr>
          <w:sz w:val="22"/>
          <w:szCs w:val="22"/>
          <w:lang w:val="es"/>
        </w:rPr>
        <w:br/>
      </w:r>
    </w:p>
    <w:p w14:paraId="01805DAA" w14:textId="6F4450BD" w:rsidR="00572CE9" w:rsidRPr="00731E6E" w:rsidRDefault="4D2DA3A4" w:rsidP="00731E6E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2"/>
          <w:szCs w:val="22"/>
        </w:rPr>
      </w:pPr>
      <w:r w:rsidRPr="29A7EC81">
        <w:rPr>
          <w:sz w:val="22"/>
          <w:szCs w:val="22"/>
          <w:lang w:val="es"/>
        </w:rPr>
        <w:t>Anexidades</w:t>
      </w:r>
      <w:r w:rsidR="0039002C" w:rsidRPr="29A7EC81">
        <w:rPr>
          <w:sz w:val="22"/>
          <w:szCs w:val="22"/>
          <w:lang w:val="es"/>
        </w:rPr>
        <w:t xml:space="preserve"> (Subterráneas).</w:t>
      </w:r>
      <w:r w:rsidR="0039002C">
        <w:br/>
      </w:r>
    </w:p>
    <w:p w14:paraId="3495F2A3" w14:textId="77777777" w:rsidR="002C13DC" w:rsidRPr="00731E6E" w:rsidRDefault="002C13DC" w:rsidP="002C13DC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2"/>
          <w:szCs w:val="22"/>
        </w:rPr>
      </w:pPr>
      <w:r w:rsidRPr="00731E6E">
        <w:rPr>
          <w:b/>
          <w:bCs/>
          <w:spacing w:val="-1"/>
          <w:sz w:val="22"/>
          <w:szCs w:val="22"/>
          <w:u w:val="thick" w:color="000000"/>
          <w:lang w:val="es"/>
        </w:rPr>
        <w:t>Planificación</w:t>
      </w:r>
      <w:r w:rsidR="005D6940" w:rsidRPr="00731E6E">
        <w:rPr>
          <w:sz w:val="22"/>
          <w:szCs w:val="22"/>
          <w:lang w:val="es"/>
        </w:rPr>
        <w:br/>
      </w:r>
    </w:p>
    <w:p w14:paraId="778A33AD" w14:textId="77777777" w:rsidR="002C13DC" w:rsidRPr="00731E6E" w:rsidRDefault="002C13DC" w:rsidP="001E085F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Las citas son para 1 permiso de revisión del plan por 1 hora.</w:t>
      </w:r>
      <w:r w:rsidRPr="00731E6E">
        <w:rPr>
          <w:sz w:val="22"/>
          <w:szCs w:val="22"/>
          <w:lang w:val="es"/>
        </w:rPr>
        <w:br/>
      </w:r>
    </w:p>
    <w:p w14:paraId="0BED5EBD" w14:textId="77777777" w:rsidR="00AA0223" w:rsidRPr="00731E6E" w:rsidRDefault="002C13DC" w:rsidP="001E085F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00731E6E">
        <w:rPr>
          <w:sz w:val="22"/>
          <w:szCs w:val="22"/>
          <w:lang w:val="es"/>
        </w:rPr>
        <w:t>Si desea programar varias citas, en el mismo día, solicite una fecha con múltiples citas consecutivas disponibles y puede programar un máximo de 3 espacios de citas por semana. Se debe proporcionar toda la información requerida (como se indica a continuación) para cada permiso individual dentro de estas citas.</w:t>
      </w:r>
      <w:r w:rsidR="00C31121" w:rsidRPr="00731E6E">
        <w:rPr>
          <w:sz w:val="22"/>
          <w:szCs w:val="22"/>
          <w:lang w:val="es"/>
        </w:rPr>
        <w:br/>
      </w:r>
    </w:p>
    <w:p w14:paraId="2C581D4D" w14:textId="3FA5E625" w:rsidR="001253D1" w:rsidRPr="001253D1" w:rsidRDefault="00C31121" w:rsidP="001253D1">
      <w:pPr>
        <w:numPr>
          <w:ilvl w:val="1"/>
          <w:numId w:val="8"/>
        </w:numPr>
        <w:tabs>
          <w:tab w:val="left" w:pos="1620"/>
        </w:tabs>
        <w:ind w:left="1620" w:hanging="661"/>
        <w:rPr>
          <w:sz w:val="22"/>
          <w:szCs w:val="22"/>
        </w:rPr>
      </w:pPr>
      <w:r w:rsidRPr="29A7EC81">
        <w:rPr>
          <w:sz w:val="22"/>
          <w:szCs w:val="22"/>
          <w:lang w:val="es"/>
        </w:rPr>
        <w:t xml:space="preserve">Si está preparado, vaya al siguiente </w:t>
      </w:r>
      <w:r w:rsidR="39BC0BAF" w:rsidRPr="29A7EC81">
        <w:rPr>
          <w:sz w:val="22"/>
          <w:szCs w:val="22"/>
          <w:lang w:val="es"/>
        </w:rPr>
        <w:t>enlace de la pagina</w:t>
      </w:r>
      <w:r w:rsidRPr="29A7EC81">
        <w:rPr>
          <w:sz w:val="22"/>
          <w:szCs w:val="22"/>
          <w:lang w:val="es"/>
        </w:rPr>
        <w:t xml:space="preserve"> web para obtener información y programar su cita de revisión de Fire Express. </w:t>
      </w:r>
      <w:r>
        <w:br/>
      </w:r>
      <w:r>
        <w:br/>
      </w:r>
      <w:hyperlink r:id="rId13">
        <w:r w:rsidR="001253D1" w:rsidRPr="29A7EC81">
          <w:rPr>
            <w:rStyle w:val="Hyperlink"/>
            <w:sz w:val="22"/>
            <w:szCs w:val="22"/>
            <w:lang w:val="es"/>
          </w:rPr>
          <w:t>https://www.sanjoseca.gov/your-government/departments-offices/fire-department/fire-prevention-permits</w:t>
        </w:r>
      </w:hyperlink>
    </w:p>
    <w:p w14:paraId="4B68E5FE" w14:textId="46CE2229" w:rsidR="00C31121" w:rsidRPr="00C31121" w:rsidRDefault="00C31121" w:rsidP="00C31121"/>
    <w:sectPr w:rsidR="00C31121" w:rsidRPr="00C31121" w:rsidSect="00731E6E">
      <w:footerReference w:type="default" r:id="rId14"/>
      <w:footerReference w:type="first" r:id="rId15"/>
      <w:pgSz w:w="12240" w:h="15840" w:code="1"/>
      <w:pgMar w:top="432" w:right="720" w:bottom="720" w:left="720" w:header="72" w:footer="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CA7F" w14:textId="77777777" w:rsidR="004C6292" w:rsidRDefault="004C6292">
      <w:r>
        <w:rPr>
          <w:lang w:val="es"/>
        </w:rPr>
        <w:separator/>
      </w:r>
    </w:p>
  </w:endnote>
  <w:endnote w:type="continuationSeparator" w:id="0">
    <w:p w14:paraId="4E3EAAD1" w14:textId="77777777" w:rsidR="004C6292" w:rsidRDefault="004C6292">
      <w:r>
        <w:rPr>
          <w:lang w:val="es"/>
        </w:rPr>
        <w:continuationSeparator/>
      </w:r>
    </w:p>
  </w:endnote>
  <w:endnote w:type="continuationNotice" w:id="1">
    <w:p w14:paraId="1127EB8F" w14:textId="77777777" w:rsidR="004C6292" w:rsidRDefault="004C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50C7" w14:textId="77777777" w:rsidR="00E00EEC" w:rsidRDefault="000F2EB7" w:rsidP="00E00EEC">
    <w:pPr>
      <w:pStyle w:val="Footer"/>
    </w:pPr>
    <w:r>
      <w:rPr>
        <w:noProof/>
        <w:lang w:val="es"/>
      </w:rPr>
      <w:pict w14:anchorId="50CF7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37" type="#_x0000_t75" style="position:absolute;margin-left:-29.2pt;margin-top:743.55pt;width:66pt;height:39pt;z-index:251658241;visibility:visible;mso-position-vertical-relative:page">
          <v:imagedata r:id="rId1" o:title=""/>
          <w10:wrap anchory="page"/>
        </v:shape>
      </w:pict>
    </w:r>
  </w:p>
  <w:tbl>
    <w:tblPr>
      <w:tblW w:w="9716" w:type="dxa"/>
      <w:tblInd w:w="1179" w:type="dxa"/>
      <w:tblLayout w:type="fixed"/>
      <w:tblLook w:val="01E0" w:firstRow="1" w:lastRow="1" w:firstColumn="1" w:lastColumn="1" w:noHBand="0" w:noVBand="0"/>
    </w:tblPr>
    <w:tblGrid>
      <w:gridCol w:w="1836"/>
      <w:gridCol w:w="3393"/>
      <w:gridCol w:w="1710"/>
      <w:gridCol w:w="1350"/>
      <w:gridCol w:w="1427"/>
    </w:tblGrid>
    <w:tr w:rsidR="00E00EEC" w:rsidRPr="009E3003" w14:paraId="2B2E1707" w14:textId="77777777" w:rsidTr="004D5EC2">
      <w:trPr>
        <w:trHeight w:val="340"/>
      </w:trPr>
      <w:tc>
        <w:tcPr>
          <w:tcW w:w="1836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09ADE80B" w14:textId="77777777" w:rsidR="00E00EEC" w:rsidRDefault="00E00EEC" w:rsidP="00E00EEC">
          <w:pPr>
            <w:pStyle w:val="Footer"/>
            <w:jc w:val="center"/>
          </w:pPr>
          <w:r w:rsidRPr="005152A9">
            <w:rPr>
              <w:color w:val="000000"/>
              <w:sz w:val="16"/>
              <w:szCs w:val="16"/>
              <w:lang w:val="es"/>
            </w:rPr>
            <w:t xml:space="preserve">Fecha de versión: </w:t>
          </w:r>
          <w:r w:rsidR="001253D1">
            <w:rPr>
              <w:color w:val="000000"/>
              <w:sz w:val="16"/>
              <w:szCs w:val="16"/>
              <w:lang w:val="es"/>
            </w:rPr>
            <w:t>1</w:t>
          </w:r>
          <w:r w:rsidRPr="005152A9">
            <w:rPr>
              <w:color w:val="000000"/>
              <w:sz w:val="16"/>
              <w:szCs w:val="16"/>
              <w:lang w:val="es"/>
            </w:rPr>
            <w:t>/</w:t>
          </w:r>
          <w:r w:rsidR="001253D1">
            <w:rPr>
              <w:color w:val="000000"/>
              <w:sz w:val="16"/>
              <w:szCs w:val="16"/>
              <w:lang w:val="es"/>
            </w:rPr>
            <w:t>19</w:t>
          </w:r>
          <w:r w:rsidR="00C63821">
            <w:rPr>
              <w:color w:val="000000"/>
              <w:sz w:val="16"/>
              <w:szCs w:val="16"/>
              <w:lang w:val="es"/>
            </w:rPr>
            <w:t>/</w:t>
          </w:r>
          <w:r w:rsidRPr="005152A9">
            <w:rPr>
              <w:color w:val="000000"/>
              <w:sz w:val="16"/>
              <w:szCs w:val="16"/>
              <w:lang w:val="es"/>
            </w:rPr>
            <w:t>2</w:t>
          </w:r>
          <w:r w:rsidR="001253D1">
            <w:rPr>
              <w:color w:val="000000"/>
              <w:sz w:val="16"/>
              <w:szCs w:val="16"/>
              <w:lang w:val="es"/>
            </w:rPr>
            <w:t>3</w:t>
          </w:r>
        </w:p>
      </w:tc>
      <w:tc>
        <w:tcPr>
          <w:tcW w:w="3393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6FABAA50" w14:textId="77777777" w:rsidR="00E00EEC" w:rsidRPr="00033DC3" w:rsidRDefault="00E00EEC" w:rsidP="00E00EEC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7B1A15F" w14:textId="77777777" w:rsidR="00E00EEC" w:rsidRPr="00E317A5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35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648878F9" w14:textId="77777777" w:rsidR="00E00EEC" w:rsidRPr="00E317A5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427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6295E2E3" w14:textId="77777777" w:rsidR="00E00EEC" w:rsidRPr="009E3003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9E3003">
            <w:rPr>
              <w:bCs/>
              <w:sz w:val="16"/>
              <w:szCs w:val="16"/>
              <w:lang w:val="es"/>
            </w:rPr>
            <w:t xml:space="preserve">Página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  <w:r w:rsidRPr="009E3003">
            <w:rPr>
              <w:bCs/>
              <w:sz w:val="16"/>
              <w:szCs w:val="16"/>
              <w:lang w:val="es"/>
            </w:rPr>
            <w:t xml:space="preserve"> de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6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14:paraId="223624FC" w14:textId="77777777" w:rsidR="00E00EEC" w:rsidRDefault="00E00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1188" w:type="dxa"/>
      <w:tblLayout w:type="fixed"/>
      <w:tblLook w:val="01E0" w:firstRow="1" w:lastRow="1" w:firstColumn="1" w:lastColumn="1" w:noHBand="0" w:noVBand="0"/>
    </w:tblPr>
    <w:tblGrid>
      <w:gridCol w:w="4920"/>
      <w:gridCol w:w="1800"/>
      <w:gridCol w:w="1718"/>
      <w:gridCol w:w="1188"/>
      <w:gridCol w:w="12"/>
    </w:tblGrid>
    <w:tr w:rsidR="00A2242A" w:rsidRPr="00903DFF" w14:paraId="7E1C55AA" w14:textId="77777777" w:rsidTr="00903DFF">
      <w:trPr>
        <w:gridAfter w:val="1"/>
        <w:wAfter w:w="12" w:type="dxa"/>
        <w:trHeight w:val="191"/>
      </w:trPr>
      <w:tc>
        <w:tcPr>
          <w:tcW w:w="9626" w:type="dxa"/>
          <w:gridSpan w:val="4"/>
          <w:tcBorders>
            <w:bottom w:val="single" w:sz="4" w:space="0" w:color="000080"/>
          </w:tcBorders>
          <w:shd w:val="clear" w:color="auto" w:fill="auto"/>
        </w:tcPr>
        <w:p w14:paraId="30927842" w14:textId="77777777" w:rsidR="00A2242A" w:rsidRPr="00903DFF" w:rsidRDefault="000F2EB7" w:rsidP="00903DFF">
          <w:pPr>
            <w:pStyle w:val="Footer"/>
            <w:jc w:val="center"/>
            <w:rPr>
              <w:sz w:val="16"/>
              <w:szCs w:val="16"/>
            </w:rPr>
          </w:pPr>
          <w:r>
            <w:rPr>
              <w:noProof/>
              <w:lang w:val="es"/>
            </w:rPr>
            <w:pict w14:anchorId="41404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6" type="#_x0000_t75" style="position:absolute;left:0;text-align:left;margin-left:-77.4pt;margin-top:-63.25pt;width:66pt;height:39pt;z-index:251658240">
                <v:imagedata r:id="rId1" o:title="CSJ_web"/>
              </v:shape>
            </w:pict>
          </w:r>
        </w:p>
      </w:tc>
    </w:tr>
    <w:tr w:rsidR="00A2242A" w:rsidRPr="00903DFF" w14:paraId="40DE5DC1" w14:textId="77777777" w:rsidTr="00903DFF">
      <w:trPr>
        <w:trHeight w:val="340"/>
      </w:trPr>
      <w:tc>
        <w:tcPr>
          <w:tcW w:w="492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00F44DC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smartTag w:uri="urn:schemas-microsoft-com:office:smarttags" w:element="Street">
            <w:smartTag w:uri="urn:schemas-microsoft-com:office:smarttags" w:element="address">
              <w:r w:rsidRPr="00903DFF">
                <w:rPr>
                  <w:sz w:val="20"/>
                  <w:szCs w:val="20"/>
                </w:rPr>
                <w:t>200 East Santa Clara Street</w:t>
              </w:r>
            </w:smartTag>
          </w:smartTag>
          <w:r w:rsidRPr="00903DFF">
            <w:rPr>
              <w:sz w:val="20"/>
              <w:szCs w:val="20"/>
              <w:lang w:val="es"/>
            </w:rPr>
            <w:t xml:space="preserve">, Torre 2, </w:t>
          </w:r>
          <w:smartTag w:uri="urn:schemas-microsoft-com:office:smarttags" w:element="place">
            <w:smartTag w:uri="urn:schemas-microsoft-com:office:smarttags" w:element="City">
              <w:r w:rsidRPr="00903DFF">
                <w:rPr>
                  <w:sz w:val="20"/>
                  <w:szCs w:val="20"/>
                </w:rPr>
                <w:t>San José</w:t>
              </w:r>
            </w:smartTag>
            <w:r w:rsidRPr="00903DFF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903DFF">
                <w:rPr>
                  <w:sz w:val="20"/>
                  <w:szCs w:val="20"/>
                </w:rPr>
                <w:t>CA</w:t>
              </w:r>
            </w:smartTag>
            <w:r w:rsidRPr="00903DFF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903DFF">
                <w:rPr>
                  <w:sz w:val="20"/>
                  <w:szCs w:val="20"/>
                </w:rPr>
                <w:t>95113</w:t>
              </w:r>
            </w:smartTag>
          </w:smartTag>
        </w:p>
      </w:tc>
      <w:tc>
        <w:tcPr>
          <w:tcW w:w="180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04D16732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Teléfono: (408)</w:t>
          </w:r>
          <w:r w:rsidR="001C1DD0" w:rsidRPr="00903DFF">
            <w:rPr>
              <w:b/>
              <w:color w:val="000080"/>
              <w:sz w:val="16"/>
              <w:szCs w:val="16"/>
              <w:lang w:val="es"/>
            </w:rPr>
            <w:t xml:space="preserve"> 535-7750</w:t>
          </w:r>
        </w:p>
      </w:tc>
      <w:tc>
        <w:tcPr>
          <w:tcW w:w="1718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70709046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Fax:</w:t>
          </w:r>
          <w:r w:rsidR="001C1DD0" w:rsidRPr="00903DFF">
            <w:rPr>
              <w:b/>
              <w:color w:val="000080"/>
              <w:sz w:val="16"/>
              <w:szCs w:val="16"/>
              <w:lang w:val="es"/>
            </w:rPr>
            <w:t xml:space="preserve"> (408) 292-6067</w:t>
          </w:r>
        </w:p>
      </w:tc>
      <w:tc>
        <w:tcPr>
          <w:tcW w:w="1200" w:type="dxa"/>
          <w:gridSpan w:val="2"/>
          <w:tcBorders>
            <w:top w:val="single" w:sz="4" w:space="0" w:color="000080"/>
          </w:tcBorders>
          <w:shd w:val="clear" w:color="auto" w:fill="auto"/>
          <w:vAlign w:val="center"/>
        </w:tcPr>
        <w:p w14:paraId="295BC697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www.sjfd.org</w:t>
          </w:r>
        </w:p>
      </w:tc>
    </w:tr>
  </w:tbl>
  <w:p w14:paraId="2DBF9938" w14:textId="77777777" w:rsidR="00EA473B" w:rsidRPr="00EA473B" w:rsidRDefault="00EA473B" w:rsidP="002156F2">
    <w:pPr>
      <w:pStyle w:val="Footer"/>
      <w:ind w:left="-720"/>
    </w:pPr>
  </w:p>
  <w:p w14:paraId="2A65C699" w14:textId="77777777" w:rsidR="00911E2A" w:rsidRPr="00EA473B" w:rsidRDefault="007E5CA6" w:rsidP="00CD37EA">
    <w:pPr>
      <w:pStyle w:val="Footer"/>
      <w:tabs>
        <w:tab w:val="clear" w:pos="4320"/>
        <w:tab w:val="clear" w:pos="8640"/>
        <w:tab w:val="left" w:pos="6780"/>
      </w:tabs>
      <w:ind w:left="120"/>
    </w:pPr>
    <w:r>
      <w:rPr>
        <w:rStyle w:val="PageNumber"/>
        <w:sz w:val="16"/>
        <w:szCs w:val="16"/>
        <w:lang w:val="es"/>
      </w:rPr>
      <w:t>Rev</w:t>
    </w:r>
    <w:r w:rsidR="008E5732">
      <w:rPr>
        <w:rStyle w:val="PageNumber"/>
        <w:sz w:val="16"/>
        <w:szCs w:val="16"/>
        <w:lang w:val="es"/>
      </w:rPr>
      <w:t>7</w:t>
    </w:r>
    <w:r w:rsidR="0003196C">
      <w:rPr>
        <w:rStyle w:val="PageNumber"/>
        <w:sz w:val="16"/>
        <w:szCs w:val="16"/>
        <w:lang w:val="es"/>
      </w:rPr>
      <w:t xml:space="preserve"> 0</w:t>
    </w:r>
    <w:r w:rsidR="008E5732">
      <w:rPr>
        <w:rStyle w:val="PageNumber"/>
        <w:sz w:val="16"/>
        <w:szCs w:val="16"/>
        <w:lang w:val="es"/>
      </w:rPr>
      <w:t>8/14</w:t>
    </w:r>
    <w:r w:rsidR="0003196C">
      <w:rPr>
        <w:rStyle w:val="PageNumber"/>
        <w:sz w:val="16"/>
        <w:szCs w:val="16"/>
        <w:lang w:val="es"/>
      </w:rPr>
      <w:t>/2</w:t>
    </w:r>
    <w:r w:rsidR="00536E6A">
      <w:rPr>
        <w:rStyle w:val="PageNumber"/>
        <w:sz w:val="16"/>
        <w:szCs w:val="16"/>
        <w:lang w:val="es"/>
      </w:rPr>
      <w:t>017</w:t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PAGE </w:instrText>
    </w:r>
    <w:r w:rsidR="00771684">
      <w:rPr>
        <w:rStyle w:val="PageNumber"/>
        <w:lang w:val="es"/>
      </w:rPr>
      <w:fldChar w:fldCharType="separate"/>
    </w:r>
    <w:r w:rsidR="00396C5F">
      <w:rPr>
        <w:rStyle w:val="PageNumber"/>
        <w:noProof/>
        <w:lang w:val="es"/>
      </w:rPr>
      <w:t>1</w:t>
    </w:r>
    <w:r w:rsidR="00771684">
      <w:rPr>
        <w:rStyle w:val="PageNumber"/>
        <w:lang w:val="es"/>
      </w:rPr>
      <w:fldChar w:fldCharType="end"/>
    </w:r>
    <w:r w:rsidR="00771684">
      <w:rPr>
        <w:rStyle w:val="PageNumber"/>
        <w:lang w:val="es"/>
      </w:rPr>
      <w:t xml:space="preserve"> de </w:t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NUMPAGES </w:instrText>
    </w:r>
    <w:r w:rsidR="00771684">
      <w:rPr>
        <w:rStyle w:val="PageNumber"/>
        <w:lang w:val="es"/>
      </w:rPr>
      <w:fldChar w:fldCharType="separate"/>
    </w:r>
    <w:r w:rsidR="00396C5F">
      <w:rPr>
        <w:rStyle w:val="PageNumber"/>
        <w:noProof/>
        <w:lang w:val="es"/>
      </w:rPr>
      <w:t>2</w:t>
    </w:r>
    <w:r w:rsidR="00771684">
      <w:rPr>
        <w:rStyle w:val="PageNumber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2318" w14:textId="77777777" w:rsidR="004C6292" w:rsidRDefault="004C6292">
      <w:r>
        <w:rPr>
          <w:lang w:val="es"/>
        </w:rPr>
        <w:separator/>
      </w:r>
    </w:p>
  </w:footnote>
  <w:footnote w:type="continuationSeparator" w:id="0">
    <w:p w14:paraId="7C515453" w14:textId="77777777" w:rsidR="004C6292" w:rsidRDefault="004C6292">
      <w:r>
        <w:rPr>
          <w:lang w:val="es"/>
        </w:rPr>
        <w:continuationSeparator/>
      </w:r>
    </w:p>
  </w:footnote>
  <w:footnote w:type="continuationNotice" w:id="1">
    <w:p w14:paraId="09B23D05" w14:textId="77777777" w:rsidR="004C6292" w:rsidRDefault="004C6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71F"/>
    <w:multiLevelType w:val="multilevel"/>
    <w:tmpl w:val="354E72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8"/>
        </w:tabs>
        <w:ind w:left="8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84"/>
        </w:tabs>
        <w:ind w:left="5184" w:hanging="1440"/>
      </w:pPr>
      <w:rPr>
        <w:rFonts w:hint="default"/>
      </w:rPr>
    </w:lvl>
  </w:abstractNum>
  <w:abstractNum w:abstractNumId="1" w15:restartNumberingAfterBreak="0">
    <w:nsid w:val="150F0E92"/>
    <w:multiLevelType w:val="hybridMultilevel"/>
    <w:tmpl w:val="3D7AE95C"/>
    <w:lvl w:ilvl="0" w:tplc="1FC889E4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5E07F50">
      <w:start w:val="1"/>
      <w:numFmt w:val="lowerLetter"/>
      <w:lvlText w:val="%2."/>
      <w:lvlJc w:val="left"/>
      <w:pPr>
        <w:ind w:left="190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11C0760">
      <w:start w:val="1"/>
      <w:numFmt w:val="lowerRoman"/>
      <w:lvlText w:val="%3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386E710">
      <w:start w:val="1"/>
      <w:numFmt w:val="bullet"/>
      <w:lvlText w:val="•"/>
      <w:lvlJc w:val="left"/>
      <w:pPr>
        <w:ind w:left="2260" w:hanging="308"/>
      </w:pPr>
      <w:rPr>
        <w:rFonts w:hint="default"/>
      </w:rPr>
    </w:lvl>
    <w:lvl w:ilvl="4" w:tplc="DC1486AC">
      <w:start w:val="1"/>
      <w:numFmt w:val="bullet"/>
      <w:lvlText w:val="•"/>
      <w:lvlJc w:val="left"/>
      <w:pPr>
        <w:ind w:left="2620" w:hanging="308"/>
      </w:pPr>
      <w:rPr>
        <w:rFonts w:hint="default"/>
      </w:rPr>
    </w:lvl>
    <w:lvl w:ilvl="5" w:tplc="DB387910">
      <w:start w:val="1"/>
      <w:numFmt w:val="bullet"/>
      <w:lvlText w:val="•"/>
      <w:lvlJc w:val="left"/>
      <w:pPr>
        <w:ind w:left="10880" w:hanging="308"/>
      </w:pPr>
      <w:rPr>
        <w:rFonts w:hint="default"/>
      </w:rPr>
    </w:lvl>
    <w:lvl w:ilvl="6" w:tplc="B7581B0A">
      <w:start w:val="1"/>
      <w:numFmt w:val="bullet"/>
      <w:lvlText w:val="•"/>
      <w:lvlJc w:val="left"/>
      <w:pPr>
        <w:ind w:left="10900" w:hanging="308"/>
      </w:pPr>
      <w:rPr>
        <w:rFonts w:hint="default"/>
      </w:rPr>
    </w:lvl>
    <w:lvl w:ilvl="7" w:tplc="B5AAAA88">
      <w:start w:val="1"/>
      <w:numFmt w:val="bullet"/>
      <w:lvlText w:val="•"/>
      <w:lvlJc w:val="left"/>
      <w:pPr>
        <w:ind w:left="10920" w:hanging="308"/>
      </w:pPr>
      <w:rPr>
        <w:rFonts w:hint="default"/>
      </w:rPr>
    </w:lvl>
    <w:lvl w:ilvl="8" w:tplc="D89A282E">
      <w:start w:val="1"/>
      <w:numFmt w:val="bullet"/>
      <w:lvlText w:val="•"/>
      <w:lvlJc w:val="left"/>
      <w:pPr>
        <w:ind w:left="10940" w:hanging="308"/>
      </w:pPr>
      <w:rPr>
        <w:rFonts w:hint="default"/>
      </w:rPr>
    </w:lvl>
  </w:abstractNum>
  <w:abstractNum w:abstractNumId="2" w15:restartNumberingAfterBreak="0">
    <w:nsid w:val="1B901ED2"/>
    <w:multiLevelType w:val="hybridMultilevel"/>
    <w:tmpl w:val="2C94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FF2"/>
    <w:multiLevelType w:val="hybridMultilevel"/>
    <w:tmpl w:val="ADEE3124"/>
    <w:lvl w:ilvl="0" w:tplc="04090015">
      <w:start w:val="1"/>
      <w:numFmt w:val="upperLetter"/>
      <w:lvlText w:val="%1."/>
      <w:lvlJc w:val="left"/>
      <w:pPr>
        <w:ind w:left="13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4" w15:restartNumberingAfterBreak="0">
    <w:nsid w:val="3A5A3CA8"/>
    <w:multiLevelType w:val="hybridMultilevel"/>
    <w:tmpl w:val="516CF9F2"/>
    <w:lvl w:ilvl="0" w:tplc="D26298E8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44D10"/>
    <w:multiLevelType w:val="multilevel"/>
    <w:tmpl w:val="44E6B96C"/>
    <w:lvl w:ilvl="0">
      <w:start w:val="1"/>
      <w:numFmt w:val="decimal"/>
      <w:lvlText w:val="%1.0"/>
      <w:lvlJc w:val="left"/>
      <w:pPr>
        <w:ind w:left="959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679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399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119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839" w:hanging="72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919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639" w:hanging="108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719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439" w:hanging="1440"/>
      </w:pPr>
      <w:rPr>
        <w:rFonts w:cs="Times New Roman" w:hint="default"/>
        <w:b w:val="0"/>
        <w:sz w:val="28"/>
      </w:rPr>
    </w:lvl>
  </w:abstractNum>
  <w:abstractNum w:abstractNumId="6" w15:restartNumberingAfterBreak="0">
    <w:nsid w:val="5BDC4F13"/>
    <w:multiLevelType w:val="hybridMultilevel"/>
    <w:tmpl w:val="52561912"/>
    <w:lvl w:ilvl="0" w:tplc="3208B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5107B"/>
    <w:multiLevelType w:val="hybridMultilevel"/>
    <w:tmpl w:val="FC0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4CC7"/>
    <w:multiLevelType w:val="hybridMultilevel"/>
    <w:tmpl w:val="0680B4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6E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244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46179051">
    <w:abstractNumId w:val="6"/>
  </w:num>
  <w:num w:numId="2" w16cid:durableId="892929090">
    <w:abstractNumId w:val="8"/>
  </w:num>
  <w:num w:numId="3" w16cid:durableId="87695383">
    <w:abstractNumId w:val="4"/>
  </w:num>
  <w:num w:numId="4" w16cid:durableId="1207109247">
    <w:abstractNumId w:val="9"/>
  </w:num>
  <w:num w:numId="5" w16cid:durableId="1627615849">
    <w:abstractNumId w:val="0"/>
  </w:num>
  <w:num w:numId="6" w16cid:durableId="1714118273">
    <w:abstractNumId w:val="1"/>
  </w:num>
  <w:num w:numId="7" w16cid:durableId="940574120">
    <w:abstractNumId w:val="2"/>
  </w:num>
  <w:num w:numId="8" w16cid:durableId="788620110">
    <w:abstractNumId w:val="5"/>
  </w:num>
  <w:num w:numId="9" w16cid:durableId="1778013950">
    <w:abstractNumId w:val="7"/>
  </w:num>
  <w:num w:numId="10" w16cid:durableId="47553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BF"/>
    <w:rsid w:val="000115D6"/>
    <w:rsid w:val="00017C3C"/>
    <w:rsid w:val="0002462A"/>
    <w:rsid w:val="0003196C"/>
    <w:rsid w:val="0004717F"/>
    <w:rsid w:val="000534F2"/>
    <w:rsid w:val="0006094A"/>
    <w:rsid w:val="00065196"/>
    <w:rsid w:val="00065A5E"/>
    <w:rsid w:val="00075612"/>
    <w:rsid w:val="00093284"/>
    <w:rsid w:val="00094F63"/>
    <w:rsid w:val="000A5AAB"/>
    <w:rsid w:val="000B18D2"/>
    <w:rsid w:val="000B2E08"/>
    <w:rsid w:val="000B64F5"/>
    <w:rsid w:val="000B767D"/>
    <w:rsid w:val="000E772A"/>
    <w:rsid w:val="000F2EB7"/>
    <w:rsid w:val="000F4FB1"/>
    <w:rsid w:val="00102F4C"/>
    <w:rsid w:val="001253D1"/>
    <w:rsid w:val="001308A1"/>
    <w:rsid w:val="001410FD"/>
    <w:rsid w:val="001532C2"/>
    <w:rsid w:val="00157D3C"/>
    <w:rsid w:val="00165FCD"/>
    <w:rsid w:val="0017061F"/>
    <w:rsid w:val="00173907"/>
    <w:rsid w:val="00174C22"/>
    <w:rsid w:val="00184321"/>
    <w:rsid w:val="00193C43"/>
    <w:rsid w:val="001B5114"/>
    <w:rsid w:val="001C1DD0"/>
    <w:rsid w:val="001E085F"/>
    <w:rsid w:val="0020395F"/>
    <w:rsid w:val="00207D17"/>
    <w:rsid w:val="00213EFF"/>
    <w:rsid w:val="002156F2"/>
    <w:rsid w:val="002215FD"/>
    <w:rsid w:val="002279D3"/>
    <w:rsid w:val="002327B7"/>
    <w:rsid w:val="00265F18"/>
    <w:rsid w:val="00291B9D"/>
    <w:rsid w:val="002C13DC"/>
    <w:rsid w:val="002C4670"/>
    <w:rsid w:val="002C473A"/>
    <w:rsid w:val="002C4D84"/>
    <w:rsid w:val="002E555C"/>
    <w:rsid w:val="002F0E4C"/>
    <w:rsid w:val="00301474"/>
    <w:rsid w:val="00302DF2"/>
    <w:rsid w:val="00304283"/>
    <w:rsid w:val="00315138"/>
    <w:rsid w:val="00323E91"/>
    <w:rsid w:val="0032746C"/>
    <w:rsid w:val="00355B9A"/>
    <w:rsid w:val="00355CDD"/>
    <w:rsid w:val="0039002C"/>
    <w:rsid w:val="00393000"/>
    <w:rsid w:val="00396C5F"/>
    <w:rsid w:val="003A7B82"/>
    <w:rsid w:val="003C02BA"/>
    <w:rsid w:val="003E54FE"/>
    <w:rsid w:val="004227C8"/>
    <w:rsid w:val="00422E08"/>
    <w:rsid w:val="00424545"/>
    <w:rsid w:val="00424728"/>
    <w:rsid w:val="0043073E"/>
    <w:rsid w:val="00444051"/>
    <w:rsid w:val="004640BB"/>
    <w:rsid w:val="0047036F"/>
    <w:rsid w:val="00471EB1"/>
    <w:rsid w:val="004824F3"/>
    <w:rsid w:val="00490C36"/>
    <w:rsid w:val="0049450D"/>
    <w:rsid w:val="00495666"/>
    <w:rsid w:val="0049635C"/>
    <w:rsid w:val="004A04A5"/>
    <w:rsid w:val="004B5494"/>
    <w:rsid w:val="004C6292"/>
    <w:rsid w:val="004D5EC2"/>
    <w:rsid w:val="004E0071"/>
    <w:rsid w:val="004E65D0"/>
    <w:rsid w:val="004E7387"/>
    <w:rsid w:val="004F18D4"/>
    <w:rsid w:val="005251B0"/>
    <w:rsid w:val="0052783A"/>
    <w:rsid w:val="00536E6A"/>
    <w:rsid w:val="00556C05"/>
    <w:rsid w:val="00563EDE"/>
    <w:rsid w:val="00572CE9"/>
    <w:rsid w:val="005814C2"/>
    <w:rsid w:val="00586EC9"/>
    <w:rsid w:val="005D0D7D"/>
    <w:rsid w:val="005D6940"/>
    <w:rsid w:val="005E43B2"/>
    <w:rsid w:val="005F7E9D"/>
    <w:rsid w:val="00600A87"/>
    <w:rsid w:val="00601303"/>
    <w:rsid w:val="00610EAB"/>
    <w:rsid w:val="0062224E"/>
    <w:rsid w:val="00642B13"/>
    <w:rsid w:val="006513FC"/>
    <w:rsid w:val="00657231"/>
    <w:rsid w:val="00680B7C"/>
    <w:rsid w:val="0069789F"/>
    <w:rsid w:val="006A2358"/>
    <w:rsid w:val="006C6712"/>
    <w:rsid w:val="006E135C"/>
    <w:rsid w:val="006E4592"/>
    <w:rsid w:val="006F1933"/>
    <w:rsid w:val="00711547"/>
    <w:rsid w:val="00715D9D"/>
    <w:rsid w:val="007216E9"/>
    <w:rsid w:val="00731E6E"/>
    <w:rsid w:val="0073357A"/>
    <w:rsid w:val="00771684"/>
    <w:rsid w:val="00773545"/>
    <w:rsid w:val="007967AB"/>
    <w:rsid w:val="007A1AEB"/>
    <w:rsid w:val="007A5B16"/>
    <w:rsid w:val="007C652F"/>
    <w:rsid w:val="007E23E4"/>
    <w:rsid w:val="007E5CA6"/>
    <w:rsid w:val="00821408"/>
    <w:rsid w:val="00853FEF"/>
    <w:rsid w:val="008559DB"/>
    <w:rsid w:val="00891A5C"/>
    <w:rsid w:val="00893413"/>
    <w:rsid w:val="00897AB1"/>
    <w:rsid w:val="008A3131"/>
    <w:rsid w:val="008C06B1"/>
    <w:rsid w:val="008D4701"/>
    <w:rsid w:val="008E5732"/>
    <w:rsid w:val="008F01C6"/>
    <w:rsid w:val="00903DFF"/>
    <w:rsid w:val="00904A18"/>
    <w:rsid w:val="00904F3D"/>
    <w:rsid w:val="00911E2A"/>
    <w:rsid w:val="0093756A"/>
    <w:rsid w:val="009456B0"/>
    <w:rsid w:val="0094583C"/>
    <w:rsid w:val="00960E0B"/>
    <w:rsid w:val="00972EBE"/>
    <w:rsid w:val="00986856"/>
    <w:rsid w:val="00995FA4"/>
    <w:rsid w:val="009A12D8"/>
    <w:rsid w:val="009C1ECA"/>
    <w:rsid w:val="009D201A"/>
    <w:rsid w:val="009E2CFC"/>
    <w:rsid w:val="00A05E71"/>
    <w:rsid w:val="00A12F87"/>
    <w:rsid w:val="00A218CB"/>
    <w:rsid w:val="00A2242A"/>
    <w:rsid w:val="00A51238"/>
    <w:rsid w:val="00A61DB9"/>
    <w:rsid w:val="00A763F4"/>
    <w:rsid w:val="00A846E8"/>
    <w:rsid w:val="00A90520"/>
    <w:rsid w:val="00A916D0"/>
    <w:rsid w:val="00A953B0"/>
    <w:rsid w:val="00AA0223"/>
    <w:rsid w:val="00AA69E6"/>
    <w:rsid w:val="00AC5DBF"/>
    <w:rsid w:val="00AD1009"/>
    <w:rsid w:val="00AD260A"/>
    <w:rsid w:val="00AF6D55"/>
    <w:rsid w:val="00B120A5"/>
    <w:rsid w:val="00B16EDE"/>
    <w:rsid w:val="00B27ACF"/>
    <w:rsid w:val="00B47E44"/>
    <w:rsid w:val="00B65DFC"/>
    <w:rsid w:val="00B70EB5"/>
    <w:rsid w:val="00BA44C8"/>
    <w:rsid w:val="00BB1D3B"/>
    <w:rsid w:val="00BC0A8F"/>
    <w:rsid w:val="00BE22F1"/>
    <w:rsid w:val="00C0499E"/>
    <w:rsid w:val="00C17122"/>
    <w:rsid w:val="00C17673"/>
    <w:rsid w:val="00C2700C"/>
    <w:rsid w:val="00C31121"/>
    <w:rsid w:val="00C3168D"/>
    <w:rsid w:val="00C54CD5"/>
    <w:rsid w:val="00C63821"/>
    <w:rsid w:val="00C72B65"/>
    <w:rsid w:val="00C802B6"/>
    <w:rsid w:val="00C94BE3"/>
    <w:rsid w:val="00C96613"/>
    <w:rsid w:val="00CA24C5"/>
    <w:rsid w:val="00CA7FBC"/>
    <w:rsid w:val="00CC20BE"/>
    <w:rsid w:val="00CC2F98"/>
    <w:rsid w:val="00CD37EA"/>
    <w:rsid w:val="00CD58A9"/>
    <w:rsid w:val="00CF65F7"/>
    <w:rsid w:val="00D17597"/>
    <w:rsid w:val="00D32562"/>
    <w:rsid w:val="00D44F54"/>
    <w:rsid w:val="00D561A1"/>
    <w:rsid w:val="00D83AE7"/>
    <w:rsid w:val="00D852CE"/>
    <w:rsid w:val="00D96B92"/>
    <w:rsid w:val="00DA09E1"/>
    <w:rsid w:val="00DA7FBE"/>
    <w:rsid w:val="00DB3EE6"/>
    <w:rsid w:val="00DC66FF"/>
    <w:rsid w:val="00DD1ADC"/>
    <w:rsid w:val="00DD1C19"/>
    <w:rsid w:val="00DF31F8"/>
    <w:rsid w:val="00E00EEC"/>
    <w:rsid w:val="00E06881"/>
    <w:rsid w:val="00E11DEB"/>
    <w:rsid w:val="00E33D0A"/>
    <w:rsid w:val="00E341BF"/>
    <w:rsid w:val="00E50C3D"/>
    <w:rsid w:val="00E66105"/>
    <w:rsid w:val="00E80506"/>
    <w:rsid w:val="00E8596B"/>
    <w:rsid w:val="00E92DE9"/>
    <w:rsid w:val="00EA473B"/>
    <w:rsid w:val="00EB4F5C"/>
    <w:rsid w:val="00EC6ADC"/>
    <w:rsid w:val="00EE5D3E"/>
    <w:rsid w:val="00EF5D61"/>
    <w:rsid w:val="00F0522C"/>
    <w:rsid w:val="00F07002"/>
    <w:rsid w:val="00F153C9"/>
    <w:rsid w:val="00F154DD"/>
    <w:rsid w:val="00F15C22"/>
    <w:rsid w:val="00F216DF"/>
    <w:rsid w:val="00F37A7D"/>
    <w:rsid w:val="00F40355"/>
    <w:rsid w:val="00F506F5"/>
    <w:rsid w:val="00F51BD9"/>
    <w:rsid w:val="00F55367"/>
    <w:rsid w:val="00F745D2"/>
    <w:rsid w:val="00F76905"/>
    <w:rsid w:val="00F81BA4"/>
    <w:rsid w:val="00F92AA9"/>
    <w:rsid w:val="00FA1C6E"/>
    <w:rsid w:val="00FD19C8"/>
    <w:rsid w:val="00FF41E5"/>
    <w:rsid w:val="0D747B7A"/>
    <w:rsid w:val="0F104BDB"/>
    <w:rsid w:val="21213338"/>
    <w:rsid w:val="22416633"/>
    <w:rsid w:val="29A7EC81"/>
    <w:rsid w:val="31F59645"/>
    <w:rsid w:val="32147C37"/>
    <w:rsid w:val="35446856"/>
    <w:rsid w:val="39BC0BAF"/>
    <w:rsid w:val="42F3DCB2"/>
    <w:rsid w:val="445E3090"/>
    <w:rsid w:val="4A72F432"/>
    <w:rsid w:val="4D2DA3A4"/>
    <w:rsid w:val="4E209E70"/>
    <w:rsid w:val="4E630383"/>
    <w:rsid w:val="52488C38"/>
    <w:rsid w:val="592EE48B"/>
    <w:rsid w:val="5FBE3ED8"/>
    <w:rsid w:val="74433F95"/>
    <w:rsid w:val="74FF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75"/>
    <o:shapelayout v:ext="edit">
      <o:idmap v:ext="edit" data="2"/>
    </o:shapelayout>
  </w:shapeDefaults>
  <w:decimalSymbol w:val="."/>
  <w:listSeparator w:val=","/>
  <w14:docId w14:val="70F288D7"/>
  <w15:chartTrackingRefBased/>
  <w15:docId w15:val="{04A4688B-533E-4F26-8AA3-CC20D13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3E4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6513FC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1E2A"/>
    <w:pPr>
      <w:tabs>
        <w:tab w:val="center" w:pos="4320"/>
        <w:tab w:val="right" w:pos="8640"/>
      </w:tabs>
    </w:pPr>
  </w:style>
  <w:style w:type="character" w:styleId="Hyperlink">
    <w:name w:val="Hyperlink"/>
    <w:rsid w:val="00EA473B"/>
    <w:rPr>
      <w:color w:val="0000FF"/>
      <w:u w:val="single"/>
    </w:rPr>
  </w:style>
  <w:style w:type="table" w:styleId="TableGrid">
    <w:name w:val="Table Grid"/>
    <w:basedOn w:val="TableNormal"/>
    <w:rsid w:val="00EA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56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A7FBC"/>
  </w:style>
  <w:style w:type="paragraph" w:styleId="NormalWeb">
    <w:name w:val="Normal (Web)"/>
    <w:basedOn w:val="Normal"/>
    <w:rsid w:val="00904A18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561A1"/>
    <w:pPr>
      <w:ind w:left="720" w:hanging="720"/>
    </w:pPr>
    <w:rPr>
      <w:rFonts w:ascii="Arial" w:hAnsi="Arial"/>
      <w:strike/>
      <w:color w:val="FF0000"/>
      <w:szCs w:val="20"/>
    </w:rPr>
  </w:style>
  <w:style w:type="paragraph" w:styleId="BodyText">
    <w:name w:val="Body Text"/>
    <w:basedOn w:val="Normal"/>
    <w:link w:val="BodyTextChar"/>
    <w:rsid w:val="00BB1D3B"/>
    <w:pPr>
      <w:spacing w:after="120"/>
    </w:pPr>
  </w:style>
  <w:style w:type="character" w:customStyle="1" w:styleId="BodyTextChar">
    <w:name w:val="Body Text Char"/>
    <w:link w:val="BodyText"/>
    <w:rsid w:val="00BB1D3B"/>
    <w:rPr>
      <w:sz w:val="24"/>
      <w:szCs w:val="24"/>
    </w:rPr>
  </w:style>
  <w:style w:type="character" w:styleId="CommentReference">
    <w:name w:val="annotation reference"/>
    <w:rsid w:val="00F74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45D2"/>
  </w:style>
  <w:style w:type="paragraph" w:styleId="CommentSubject">
    <w:name w:val="annotation subject"/>
    <w:basedOn w:val="CommentText"/>
    <w:next w:val="CommentText"/>
    <w:link w:val="CommentSubjectChar"/>
    <w:rsid w:val="00F745D2"/>
    <w:rPr>
      <w:b/>
      <w:bCs/>
    </w:rPr>
  </w:style>
  <w:style w:type="character" w:customStyle="1" w:styleId="CommentSubjectChar">
    <w:name w:val="Comment Subject Char"/>
    <w:link w:val="CommentSubject"/>
    <w:rsid w:val="00F745D2"/>
    <w:rPr>
      <w:b/>
      <w:bCs/>
    </w:rPr>
  </w:style>
  <w:style w:type="paragraph" w:styleId="ListParagraph">
    <w:name w:val="List Paragraph"/>
    <w:basedOn w:val="Normal"/>
    <w:uiPriority w:val="34"/>
    <w:qFormat/>
    <w:rsid w:val="00F745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7E23E4"/>
    <w:rPr>
      <w:sz w:val="28"/>
    </w:rPr>
  </w:style>
  <w:style w:type="character" w:styleId="UnresolvedMention">
    <w:name w:val="Unresolved Mention"/>
    <w:uiPriority w:val="99"/>
    <w:semiHidden/>
    <w:unhideWhenUsed/>
    <w:rsid w:val="00C31121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E00EEC"/>
    <w:rPr>
      <w:sz w:val="24"/>
      <w:szCs w:val="24"/>
    </w:rPr>
  </w:style>
  <w:style w:type="character" w:styleId="PlaceholderText">
    <w:name w:val="Placeholder Text"/>
    <w:uiPriority w:val="99"/>
    <w:semiHidden/>
    <w:rsid w:val="009D2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joseca.gov/your-government/departments-offices/fire-department/fire-prevention-permi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>Tarango, Cesar</DisplayName>
        <AccountId>89</AccountId>
        <AccountType/>
      </UserInfo>
    </SharedWithUsers>
    <MediaLengthInSeconds xmlns="115bf5a3-baba-4842-aab9-dd9c829e00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D2E48-6D1B-42C0-A929-FC0D04FE9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50512-913F-443C-9172-81AAE20E56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2E6CAE-4292-47B7-8DD2-A883F5991CC1}">
  <ds:schemaRefs>
    <ds:schemaRef ds:uri="1f890ede-6e15-4360-97f5-f4b2b3ea6eb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c6146ead-0495-4515-a23f-04c5170085e6"/>
    <ds:schemaRef ds:uri="http://schemas.microsoft.com/office/2006/metadata/properties"/>
    <ds:schemaRef ds:uri="http://www.w3.org/XML/1998/namespace"/>
    <ds:schemaRef ds:uri="http://purl.org/dc/elements/1.1/"/>
    <ds:schemaRef ds:uri="5f4f38ea-e6f8-432e-bd13-240724cbd163"/>
    <ds:schemaRef ds:uri="115bf5a3-baba-4842-aab9-dd9c829e0023"/>
  </ds:schemaRefs>
</ds:datastoreItem>
</file>

<file path=customXml/itemProps4.xml><?xml version="1.0" encoding="utf-8"?>
<ds:datastoreItem xmlns:ds="http://schemas.openxmlformats.org/officeDocument/2006/customXml" ds:itemID="{9C9530BD-A6BA-4BFF-8CDF-EE5E68A74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Company>SJFD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Medina</dc:creator>
  <cp:keywords/>
  <dc:description/>
  <cp:lastModifiedBy>San Nicolas, Merlina</cp:lastModifiedBy>
  <cp:revision>13</cp:revision>
  <cp:lastPrinted>2023-12-27T20:31:00Z</cp:lastPrinted>
  <dcterms:created xsi:type="dcterms:W3CDTF">2023-12-27T20:30:00Z</dcterms:created>
  <dcterms:modified xsi:type="dcterms:W3CDTF">2024-04-29T23:39:00Z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Chan, Ronald</vt:lpwstr>
  </property>
  <property fmtid="{D5CDD505-2E9C-101B-9397-08002B2CF9AE}" pid="4" name="Order">
    <vt:lpwstr>59875800.0000000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Chan, Ronald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ContentTypeId">
    <vt:lpwstr>0x0101000961B0219594E14894C9E77741BFFB56</vt:lpwstr>
  </property>
</Properties>
</file>