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12DA6" w14:textId="77777777" w:rsidR="00620F26" w:rsidRPr="00620F26" w:rsidRDefault="00620F26" w:rsidP="00620F26">
      <w:pPr>
        <w:spacing w:before="161" w:after="161"/>
        <w:outlineLvl w:val="0"/>
        <w:rPr>
          <w:rFonts w:ascii="inherit" w:eastAsia="Times New Roman" w:hAnsi="inherit" w:cs="Times New Roman"/>
          <w:color w:val="CC6600"/>
          <w:kern w:val="36"/>
          <w:sz w:val="54"/>
          <w:szCs w:val="54"/>
        </w:rPr>
      </w:pPr>
      <w:r w:rsidRPr="00620F26">
        <w:rPr>
          <w:rFonts w:ascii="inherit" w:eastAsia="Times New Roman" w:hAnsi="inherit" w:cs="Times New Roman"/>
          <w:color w:val="CC6600"/>
          <w:kern w:val="36"/>
          <w:sz w:val="54"/>
          <w:szCs w:val="54"/>
        </w:rPr>
        <w:t>Campaign Advertising - Requirements &amp; Restrictions</w:t>
      </w:r>
    </w:p>
    <w:p w14:paraId="60B0E97B" w14:textId="2527DFFE" w:rsidR="00620F26" w:rsidRDefault="00620F26" w:rsidP="00620F26">
      <w:pPr>
        <w:spacing w:after="165"/>
        <w:rPr>
          <w:rFonts w:ascii="Lato" w:eastAsia="Times New Roman" w:hAnsi="Lato" w:cs="Times New Roman"/>
          <w:color w:val="333333"/>
        </w:rPr>
      </w:pPr>
      <w:r w:rsidRPr="00620F26">
        <w:rPr>
          <w:rFonts w:ascii="Lato" w:eastAsia="Times New Roman" w:hAnsi="Lato" w:cs="Times New Roman"/>
          <w:color w:val="333333"/>
        </w:rPr>
        <w:t>Under the </w:t>
      </w:r>
      <w:r>
        <w:rPr>
          <w:rFonts w:ascii="Lato" w:eastAsia="Times New Roman" w:hAnsi="Lato" w:cs="Times New Roman"/>
          <w:color w:val="333333"/>
        </w:rPr>
        <w:t>San José Municipal Code</w:t>
      </w:r>
      <w:r w:rsidRPr="00620F26">
        <w:rPr>
          <w:rFonts w:ascii="Lato" w:eastAsia="Times New Roman" w:hAnsi="Lato" w:cs="Times New Roman"/>
          <w:color w:val="333333"/>
        </w:rPr>
        <w:t xml:space="preserve">, candidates and political committees must put disclosures on campaign advertisements that identify the committee that paid for or authorized the communication. Below are links to advertising disclosure charts, as well as general information about the requirements for committees that purchase advertisements or circulate materials supporting or opposing a local candidate or ballot measure in </w:t>
      </w:r>
      <w:r>
        <w:rPr>
          <w:rFonts w:ascii="Lato" w:eastAsia="Times New Roman" w:hAnsi="Lato" w:cs="Times New Roman"/>
          <w:color w:val="333333"/>
        </w:rPr>
        <w:t>a City of San José election</w:t>
      </w:r>
      <w:r w:rsidRPr="00620F26">
        <w:rPr>
          <w:rFonts w:ascii="Lato" w:eastAsia="Times New Roman" w:hAnsi="Lato" w:cs="Times New Roman"/>
          <w:color w:val="333333"/>
        </w:rPr>
        <w:t>. </w:t>
      </w:r>
    </w:p>
    <w:p w14:paraId="7D035B10" w14:textId="7694608A" w:rsidR="00620F26" w:rsidRPr="00620F26" w:rsidRDefault="00620F26" w:rsidP="00620F26">
      <w:pPr>
        <w:spacing w:after="165"/>
        <w:rPr>
          <w:rFonts w:ascii="Lato" w:eastAsia="Times New Roman" w:hAnsi="Lato" w:cs="Times New Roman"/>
          <w:color w:val="333333"/>
        </w:rPr>
      </w:pPr>
      <w:r>
        <w:rPr>
          <w:rFonts w:ascii="Lato" w:eastAsia="Times New Roman" w:hAnsi="Lato" w:cs="Times New Roman"/>
          <w:color w:val="333333"/>
        </w:rPr>
        <w:t xml:space="preserve">The disclosures required in the City of San José are largely the same as those required </w:t>
      </w:r>
      <w:r w:rsidR="00E234DE">
        <w:rPr>
          <w:rFonts w:ascii="Lato" w:eastAsia="Times New Roman" w:hAnsi="Lato" w:cs="Times New Roman"/>
          <w:color w:val="333333"/>
        </w:rPr>
        <w:t xml:space="preserve">for campaign advertisements </w:t>
      </w:r>
      <w:r>
        <w:rPr>
          <w:rFonts w:ascii="Lato" w:eastAsia="Times New Roman" w:hAnsi="Lato" w:cs="Times New Roman"/>
          <w:color w:val="333333"/>
        </w:rPr>
        <w:t xml:space="preserve">under the Political Reform Act. However, committees that </w:t>
      </w:r>
      <w:r w:rsidR="00C9236D">
        <w:rPr>
          <w:rFonts w:ascii="Lato" w:eastAsia="Times New Roman" w:hAnsi="Lato" w:cs="Times New Roman"/>
          <w:color w:val="333333"/>
        </w:rPr>
        <w:t>would be</w:t>
      </w:r>
      <w:r>
        <w:rPr>
          <w:rFonts w:ascii="Lato" w:eastAsia="Times New Roman" w:hAnsi="Lato" w:cs="Times New Roman"/>
          <w:color w:val="333333"/>
        </w:rPr>
        <w:t xml:space="preserve"> required to disclose “major committee funding”</w:t>
      </w:r>
      <w:r w:rsidR="00C9236D">
        <w:rPr>
          <w:rFonts w:ascii="Lato" w:eastAsia="Times New Roman" w:hAnsi="Lato" w:cs="Times New Roman"/>
          <w:color w:val="333333"/>
        </w:rPr>
        <w:t xml:space="preserve"> under the Act</w:t>
      </w:r>
      <w:r>
        <w:rPr>
          <w:rFonts w:ascii="Lato" w:eastAsia="Times New Roman" w:hAnsi="Lato" w:cs="Times New Roman"/>
          <w:color w:val="333333"/>
        </w:rPr>
        <w:t xml:space="preserve"> must disclosure the top three contributors of $2,500 or more</w:t>
      </w:r>
      <w:r w:rsidR="00DA54C0">
        <w:rPr>
          <w:rFonts w:ascii="Lato" w:eastAsia="Times New Roman" w:hAnsi="Lato" w:cs="Times New Roman"/>
          <w:color w:val="333333"/>
        </w:rPr>
        <w:t xml:space="preserve"> in San José </w:t>
      </w:r>
      <w:r>
        <w:rPr>
          <w:rFonts w:ascii="Lato" w:eastAsia="Times New Roman" w:hAnsi="Lato" w:cs="Times New Roman"/>
          <w:color w:val="333333"/>
        </w:rPr>
        <w:t>inste</w:t>
      </w:r>
      <w:r w:rsidR="00E234DE">
        <w:rPr>
          <w:rFonts w:ascii="Lato" w:eastAsia="Times New Roman" w:hAnsi="Lato" w:cs="Times New Roman"/>
          <w:color w:val="333333"/>
        </w:rPr>
        <w:t>ad of the top three contributors of $50,000 or more</w:t>
      </w:r>
      <w:r w:rsidR="00DA54C0">
        <w:rPr>
          <w:rFonts w:ascii="Lato" w:eastAsia="Times New Roman" w:hAnsi="Lato" w:cs="Times New Roman"/>
          <w:color w:val="333333"/>
        </w:rPr>
        <w:t xml:space="preserve"> as required by the Act</w:t>
      </w:r>
      <w:r w:rsidR="00E234DE">
        <w:rPr>
          <w:rFonts w:ascii="Lato" w:eastAsia="Times New Roman" w:hAnsi="Lato" w:cs="Times New Roman"/>
          <w:color w:val="333333"/>
        </w:rPr>
        <w:t>.</w:t>
      </w:r>
    </w:p>
    <w:p w14:paraId="7DFA0C04" w14:textId="77777777" w:rsidR="00620F26" w:rsidRPr="00620F26" w:rsidRDefault="00620F26" w:rsidP="00620F26">
      <w:pPr>
        <w:spacing w:before="100" w:beforeAutospacing="1" w:after="100" w:afterAutospacing="1"/>
        <w:outlineLvl w:val="1"/>
        <w:rPr>
          <w:rFonts w:ascii="inherit" w:eastAsia="Times New Roman" w:hAnsi="inherit" w:cs="Times New Roman"/>
          <w:color w:val="3A4689"/>
          <w:sz w:val="44"/>
          <w:szCs w:val="44"/>
        </w:rPr>
      </w:pPr>
      <w:r w:rsidRPr="00620F26">
        <w:rPr>
          <w:rFonts w:ascii="inherit" w:eastAsia="Times New Roman" w:hAnsi="inherit" w:cs="Times New Roman"/>
          <w:color w:val="3A4689"/>
          <w:sz w:val="44"/>
          <w:szCs w:val="44"/>
        </w:rPr>
        <w:t>Advertising Disclosure Charts</w:t>
      </w:r>
    </w:p>
    <w:p w14:paraId="7CABEAB6" w14:textId="77777777" w:rsidR="00620F26" w:rsidRPr="00620F26" w:rsidRDefault="00620F26" w:rsidP="00620F26">
      <w:pPr>
        <w:spacing w:after="165"/>
        <w:rPr>
          <w:rFonts w:ascii="Lato" w:eastAsia="Times New Roman" w:hAnsi="Lato" w:cs="Times New Roman"/>
          <w:color w:val="333333"/>
        </w:rPr>
      </w:pPr>
      <w:r w:rsidRPr="00620F26">
        <w:rPr>
          <w:rFonts w:ascii="Lato" w:eastAsia="Times New Roman" w:hAnsi="Lato" w:cs="Times New Roman"/>
          <w:color w:val="333333"/>
        </w:rPr>
        <w:t>Please note that advertisements that are "online platform disclosed advertisements" have different disclosure requirements than the ones listed in the disclosure charts on this page. "Online platform disclosed advertisements" are either (1) electronic media advertisements made via an online platform that allows users to engage in discourse and post content, or any other type of social media, for which a committee pays the online platform or (2) electronic media advertisements</w:t>
      </w:r>
      <w:r w:rsidRPr="00620F26">
        <w:rPr>
          <w:rFonts w:ascii="Lato" w:eastAsia="Times New Roman" w:hAnsi="Lato" w:cs="Times New Roman"/>
          <w:b/>
          <w:bCs/>
          <w:color w:val="333333"/>
        </w:rPr>
        <w:t> </w:t>
      </w:r>
      <w:r w:rsidRPr="00620F26">
        <w:rPr>
          <w:rFonts w:ascii="Lato" w:eastAsia="Times New Roman" w:hAnsi="Lato" w:cs="Times New Roman"/>
          <w:color w:val="333333"/>
        </w:rPr>
        <w:t>that are in the form of a graphic, image, animated graphic, or animated image that an online platform hosting the advertisement does </w:t>
      </w:r>
      <w:r w:rsidRPr="00620F26">
        <w:rPr>
          <w:rFonts w:ascii="Lato" w:eastAsia="Times New Roman" w:hAnsi="Lato" w:cs="Times New Roman"/>
          <w:b/>
          <w:bCs/>
          <w:color w:val="333333"/>
        </w:rPr>
        <w:t>not allow</w:t>
      </w:r>
      <w:r w:rsidRPr="00620F26">
        <w:rPr>
          <w:rFonts w:ascii="Lato" w:eastAsia="Times New Roman" w:hAnsi="Lato" w:cs="Times New Roman"/>
          <w:color w:val="333333"/>
        </w:rPr>
        <w:t> to hyperlink to an internet website containing required disclosures noted on the charts linked below on this page. Electronic media advertisements that are not "online platform disclosed advertisements" shall follow disclosure requirements for electronic media advertisements as described in the charts on this page. For more information on "online platform disclosed advertisements" please refer to Government Code Section 84504.6.</w:t>
      </w:r>
    </w:p>
    <w:p w14:paraId="6A5852A8" w14:textId="77777777" w:rsidR="00620F26" w:rsidRPr="00620F26" w:rsidRDefault="00620F26" w:rsidP="00620F26">
      <w:pPr>
        <w:spacing w:after="165"/>
        <w:rPr>
          <w:rFonts w:ascii="Lato" w:eastAsia="Times New Roman" w:hAnsi="Lato" w:cs="Times New Roman"/>
          <w:color w:val="333333"/>
        </w:rPr>
      </w:pPr>
      <w:r w:rsidRPr="00620F26">
        <w:rPr>
          <w:rFonts w:ascii="Lato" w:eastAsia="Times New Roman" w:hAnsi="Lato" w:cs="Times New Roman"/>
          <w:color w:val="333333"/>
        </w:rPr>
        <w:t>The disclaimer requirements are based on the type of advertisement and who paid for it, and are summarized in the following charts:</w:t>
      </w:r>
    </w:p>
    <w:p w14:paraId="5967F1B0" w14:textId="04C94EE2" w:rsidR="00620F26" w:rsidRPr="00620F26" w:rsidRDefault="00C34B23" w:rsidP="00620F26">
      <w:pPr>
        <w:numPr>
          <w:ilvl w:val="0"/>
          <w:numId w:val="1"/>
        </w:numPr>
        <w:spacing w:before="100" w:beforeAutospacing="1" w:after="100" w:afterAutospacing="1"/>
        <w:rPr>
          <w:rFonts w:ascii="Lato" w:eastAsia="Times New Roman" w:hAnsi="Lato" w:cs="Times New Roman"/>
          <w:color w:val="333333"/>
        </w:rPr>
      </w:pPr>
      <w:hyperlink r:id="rId11" w:history="1">
        <w:r w:rsidR="00054299" w:rsidRPr="00C95EC1">
          <w:rPr>
            <w:rStyle w:val="Hyperlink"/>
            <w:rFonts w:ascii="Lato" w:eastAsia="Times New Roman" w:hAnsi="Lato" w:cs="Times New Roman"/>
          </w:rPr>
          <w:t>Communications by Candidate Committees for their own Election</w:t>
        </w:r>
      </w:hyperlink>
    </w:p>
    <w:p w14:paraId="03AFD40B" w14:textId="123AF2B8" w:rsidR="00620F26" w:rsidRPr="00620F26" w:rsidRDefault="00C34B23" w:rsidP="00620F26">
      <w:pPr>
        <w:numPr>
          <w:ilvl w:val="0"/>
          <w:numId w:val="1"/>
        </w:numPr>
        <w:spacing w:before="100" w:beforeAutospacing="1" w:after="100" w:afterAutospacing="1"/>
        <w:rPr>
          <w:rFonts w:ascii="Lato" w:eastAsia="Times New Roman" w:hAnsi="Lato" w:cs="Times New Roman"/>
          <w:color w:val="333333"/>
        </w:rPr>
      </w:pPr>
      <w:hyperlink r:id="rId12" w:history="1">
        <w:r w:rsidR="00054299" w:rsidRPr="008A4CE8">
          <w:rPr>
            <w:rStyle w:val="Hyperlink"/>
            <w:rFonts w:ascii="Lato" w:eastAsia="Times New Roman" w:hAnsi="Lato" w:cs="Times New Roman"/>
          </w:rPr>
          <w:t>Independent Expenditure Ads on Candidates (except ads by candidates and political party committees)</w:t>
        </w:r>
      </w:hyperlink>
    </w:p>
    <w:p w14:paraId="0B665B14" w14:textId="4C1DD356" w:rsidR="00620F26" w:rsidRPr="00620F26" w:rsidRDefault="00C34B23" w:rsidP="00620F26">
      <w:pPr>
        <w:numPr>
          <w:ilvl w:val="0"/>
          <w:numId w:val="1"/>
        </w:numPr>
        <w:spacing w:before="100" w:beforeAutospacing="1" w:after="100" w:afterAutospacing="1"/>
        <w:rPr>
          <w:rFonts w:ascii="Lato" w:eastAsia="Times New Roman" w:hAnsi="Lato" w:cs="Times New Roman"/>
          <w:color w:val="333333"/>
        </w:rPr>
      </w:pPr>
      <w:hyperlink r:id="rId13" w:history="1">
        <w:r w:rsidR="00054299" w:rsidRPr="008A4CE8">
          <w:rPr>
            <w:rStyle w:val="Hyperlink"/>
            <w:rFonts w:ascii="Lato" w:eastAsia="Times New Roman" w:hAnsi="Lato" w:cs="Times New Roman"/>
          </w:rPr>
          <w:t>Independent Expenditure Ads on Ballot Measures (except ads by candidates and political party committees)</w:t>
        </w:r>
      </w:hyperlink>
    </w:p>
    <w:p w14:paraId="70C0C0C4" w14:textId="27AF00AC" w:rsidR="00620F26" w:rsidRPr="00620F26" w:rsidRDefault="00C34B23" w:rsidP="00620F26">
      <w:pPr>
        <w:numPr>
          <w:ilvl w:val="0"/>
          <w:numId w:val="1"/>
        </w:numPr>
        <w:spacing w:before="100" w:beforeAutospacing="1" w:after="100" w:afterAutospacing="1"/>
        <w:rPr>
          <w:rFonts w:ascii="Lato" w:eastAsia="Times New Roman" w:hAnsi="Lato" w:cs="Times New Roman"/>
          <w:color w:val="333333"/>
        </w:rPr>
      </w:pPr>
      <w:hyperlink r:id="rId14" w:history="1">
        <w:r w:rsidR="00054299" w:rsidRPr="008A4CE8">
          <w:rPr>
            <w:rStyle w:val="Hyperlink"/>
            <w:rFonts w:ascii="Lato" w:eastAsia="Times New Roman" w:hAnsi="Lato" w:cs="Times New Roman"/>
          </w:rPr>
          <w:t>Independent Expenditure Ads on Ballot Measures by Candidates and Political Party Committees</w:t>
        </w:r>
      </w:hyperlink>
    </w:p>
    <w:p w14:paraId="2DB00961" w14:textId="463AD849" w:rsidR="00620F26" w:rsidRPr="00620F26" w:rsidRDefault="00C34B23" w:rsidP="00620F26">
      <w:pPr>
        <w:numPr>
          <w:ilvl w:val="0"/>
          <w:numId w:val="1"/>
        </w:numPr>
        <w:spacing w:before="100" w:beforeAutospacing="1" w:after="100" w:afterAutospacing="1"/>
        <w:rPr>
          <w:rFonts w:ascii="Lato" w:eastAsia="Times New Roman" w:hAnsi="Lato" w:cs="Times New Roman"/>
          <w:color w:val="333333"/>
        </w:rPr>
      </w:pPr>
      <w:hyperlink r:id="rId15" w:history="1">
        <w:r w:rsidR="00054299" w:rsidRPr="008A4CE8">
          <w:rPr>
            <w:rStyle w:val="Hyperlink"/>
            <w:rFonts w:ascii="Lato" w:eastAsia="Times New Roman" w:hAnsi="Lato" w:cs="Times New Roman"/>
          </w:rPr>
          <w:t>Independent Expenditure Ads on Candidates by Candidates and Political Party Committees</w:t>
        </w:r>
      </w:hyperlink>
    </w:p>
    <w:p w14:paraId="5564908D" w14:textId="4D6E1442" w:rsidR="00620F26" w:rsidRPr="00620F26" w:rsidRDefault="00C34B23" w:rsidP="00620F26">
      <w:pPr>
        <w:numPr>
          <w:ilvl w:val="0"/>
          <w:numId w:val="1"/>
        </w:numPr>
        <w:spacing w:before="100" w:beforeAutospacing="1" w:after="100" w:afterAutospacing="1"/>
        <w:rPr>
          <w:rFonts w:ascii="Lato" w:eastAsia="Times New Roman" w:hAnsi="Lato" w:cs="Times New Roman"/>
          <w:color w:val="333333"/>
        </w:rPr>
      </w:pPr>
      <w:hyperlink r:id="rId16" w:history="1">
        <w:r w:rsidR="00054299" w:rsidRPr="008A4CE8">
          <w:rPr>
            <w:rStyle w:val="Hyperlink"/>
            <w:rFonts w:ascii="Lato" w:eastAsia="Times New Roman" w:hAnsi="Lato" w:cs="Times New Roman"/>
          </w:rPr>
          <w:t>All Non-Independent Expenditure Ads (except ads by candidates and political party committees)</w:t>
        </w:r>
      </w:hyperlink>
    </w:p>
    <w:p w14:paraId="0E0A418D" w14:textId="347D2495" w:rsidR="00620F26" w:rsidRPr="00620F26" w:rsidRDefault="00C34B23" w:rsidP="00620F26">
      <w:pPr>
        <w:numPr>
          <w:ilvl w:val="0"/>
          <w:numId w:val="1"/>
        </w:numPr>
        <w:spacing w:before="100" w:beforeAutospacing="1" w:after="100" w:afterAutospacing="1"/>
        <w:rPr>
          <w:rFonts w:ascii="Lato" w:eastAsia="Times New Roman" w:hAnsi="Lato" w:cs="Times New Roman"/>
          <w:color w:val="333333"/>
        </w:rPr>
      </w:pPr>
      <w:hyperlink r:id="rId17" w:history="1">
        <w:r w:rsidR="00E64107" w:rsidRPr="008A4CE8">
          <w:rPr>
            <w:rStyle w:val="Hyperlink"/>
            <w:rFonts w:ascii="Lato" w:eastAsia="Times New Roman" w:hAnsi="Lato" w:cs="Times New Roman"/>
          </w:rPr>
          <w:t>All Non-Independent Expenditure Ads by Candidates and Political Party Committees</w:t>
        </w:r>
      </w:hyperlink>
    </w:p>
    <w:p w14:paraId="3A8166E9" w14:textId="77777777" w:rsidR="00620F26" w:rsidRPr="00620F26" w:rsidRDefault="00620F26" w:rsidP="00620F26">
      <w:pPr>
        <w:spacing w:before="100" w:beforeAutospacing="1" w:after="100" w:afterAutospacing="1"/>
        <w:outlineLvl w:val="1"/>
        <w:rPr>
          <w:rFonts w:ascii="inherit" w:eastAsia="Times New Roman" w:hAnsi="inherit" w:cs="Times New Roman"/>
          <w:color w:val="3A4689"/>
          <w:sz w:val="44"/>
          <w:szCs w:val="44"/>
        </w:rPr>
      </w:pPr>
      <w:r w:rsidRPr="00620F26">
        <w:rPr>
          <w:rFonts w:ascii="inherit" w:eastAsia="Times New Roman" w:hAnsi="inherit" w:cs="Times New Roman"/>
          <w:color w:val="3A4689"/>
          <w:sz w:val="44"/>
          <w:szCs w:val="44"/>
        </w:rPr>
        <w:t>What is an Advertisement?</w:t>
      </w:r>
    </w:p>
    <w:p w14:paraId="1155C453" w14:textId="77777777" w:rsidR="00620F26" w:rsidRPr="00620F26" w:rsidRDefault="00620F26" w:rsidP="00620F26">
      <w:pPr>
        <w:spacing w:after="165"/>
        <w:rPr>
          <w:rFonts w:ascii="Lato" w:eastAsia="Times New Roman" w:hAnsi="Lato" w:cs="Times New Roman"/>
          <w:color w:val="333333"/>
        </w:rPr>
      </w:pPr>
      <w:r w:rsidRPr="00620F26">
        <w:rPr>
          <w:rFonts w:ascii="Lato" w:eastAsia="Times New Roman" w:hAnsi="Lato" w:cs="Times New Roman"/>
          <w:color w:val="333333"/>
        </w:rPr>
        <w:t>Advertisements include mass mailings (including blast e-mails), paid telephone calls, radio and television ads, billboards, yard signs, and electronic media ads.  </w:t>
      </w:r>
    </w:p>
    <w:p w14:paraId="2259692A" w14:textId="77777777" w:rsidR="00620F26" w:rsidRPr="00620F26" w:rsidRDefault="00620F26" w:rsidP="00620F26">
      <w:pPr>
        <w:spacing w:before="100" w:beforeAutospacing="1" w:after="100" w:afterAutospacing="1"/>
        <w:outlineLvl w:val="1"/>
        <w:rPr>
          <w:rFonts w:ascii="inherit" w:eastAsia="Times New Roman" w:hAnsi="inherit" w:cs="Times New Roman"/>
          <w:color w:val="3A4689"/>
          <w:sz w:val="44"/>
          <w:szCs w:val="44"/>
        </w:rPr>
      </w:pPr>
      <w:r w:rsidRPr="00620F26">
        <w:rPr>
          <w:rFonts w:ascii="inherit" w:eastAsia="Times New Roman" w:hAnsi="inherit" w:cs="Times New Roman"/>
          <w:color w:val="3A4689"/>
          <w:sz w:val="44"/>
          <w:szCs w:val="44"/>
        </w:rPr>
        <w:t>What is an Advertisement Disclosure?</w:t>
      </w:r>
    </w:p>
    <w:p w14:paraId="5B242EE6" w14:textId="77777777" w:rsidR="00620F26" w:rsidRPr="00620F26" w:rsidRDefault="00620F26" w:rsidP="00620F26">
      <w:pPr>
        <w:spacing w:after="165"/>
        <w:rPr>
          <w:rFonts w:ascii="Lato" w:eastAsia="Times New Roman" w:hAnsi="Lato" w:cs="Times New Roman"/>
          <w:color w:val="333333"/>
        </w:rPr>
      </w:pPr>
      <w:r w:rsidRPr="00620F26">
        <w:rPr>
          <w:rFonts w:ascii="Lato" w:eastAsia="Times New Roman" w:hAnsi="Lato" w:cs="Times New Roman"/>
          <w:color w:val="333333"/>
        </w:rPr>
        <w:t>An advertisement disclosure is the portion of a political message that identifies the committee that paid for or authorized the communication. “Paid for by [committee name]” or "Ad paid for by [committee name]" is the basic disclosure required on campaign communications. Please see the Advertising Disclosure Charts above for detailed information on disclosure requirements.</w:t>
      </w:r>
    </w:p>
    <w:p w14:paraId="162801B4" w14:textId="77777777" w:rsidR="00620F26" w:rsidRPr="00620F26" w:rsidRDefault="00620F26" w:rsidP="00620F26">
      <w:pPr>
        <w:spacing w:before="100" w:beforeAutospacing="1" w:after="100" w:afterAutospacing="1"/>
        <w:outlineLvl w:val="1"/>
        <w:rPr>
          <w:rFonts w:ascii="inherit" w:eastAsia="Times New Roman" w:hAnsi="inherit" w:cs="Times New Roman"/>
          <w:color w:val="3A4689"/>
          <w:sz w:val="44"/>
          <w:szCs w:val="44"/>
        </w:rPr>
      </w:pPr>
      <w:r w:rsidRPr="00620F26">
        <w:rPr>
          <w:rFonts w:ascii="inherit" w:eastAsia="Times New Roman" w:hAnsi="inherit" w:cs="Times New Roman"/>
          <w:color w:val="3A4689"/>
          <w:sz w:val="44"/>
          <w:szCs w:val="44"/>
        </w:rPr>
        <w:t>What is a Committee?</w:t>
      </w:r>
    </w:p>
    <w:p w14:paraId="17D60932" w14:textId="77777777" w:rsidR="00620F26" w:rsidRPr="00620F26" w:rsidRDefault="00620F26" w:rsidP="00620F26">
      <w:pPr>
        <w:spacing w:after="165"/>
        <w:rPr>
          <w:rFonts w:ascii="Lato" w:eastAsia="Times New Roman" w:hAnsi="Lato" w:cs="Times New Roman"/>
          <w:color w:val="333333"/>
        </w:rPr>
      </w:pPr>
      <w:r w:rsidRPr="00620F26">
        <w:rPr>
          <w:rFonts w:ascii="Lato" w:eastAsia="Times New Roman" w:hAnsi="Lato" w:cs="Times New Roman"/>
          <w:color w:val="333333"/>
        </w:rPr>
        <w:t>A candidate’s campaign committee, a ballot measure committee, a general purpose committee, a political party committee, a slate mailer organization, a major donor, and a person or entity making independent expenditures on candidates or ballot measures in California are all types of committees that may be subject to the Act’s ad disclosure requirements.</w:t>
      </w:r>
    </w:p>
    <w:p w14:paraId="092B7C7D" w14:textId="77777777" w:rsidR="00620F26" w:rsidRPr="00620F26" w:rsidRDefault="00620F26" w:rsidP="00620F26">
      <w:pPr>
        <w:spacing w:after="165"/>
        <w:rPr>
          <w:rFonts w:ascii="Lato" w:eastAsia="Times New Roman" w:hAnsi="Lato" w:cs="Times New Roman"/>
          <w:color w:val="333333"/>
        </w:rPr>
      </w:pPr>
      <w:r w:rsidRPr="00620F26">
        <w:rPr>
          <w:rFonts w:ascii="Lato" w:eastAsia="Times New Roman" w:hAnsi="Lato" w:cs="Times New Roman"/>
          <w:color w:val="333333"/>
        </w:rPr>
        <w:t>A person or entity qualifies as a committee under the Act if they receive contributions for political purposes of $2,000 or more per year; if they make independent expenditures on California candidates or ballot measures of $1,000 or more per year; or if they make contributions to California candidates or ballot measures of $10,000 or more per year.</w:t>
      </w:r>
    </w:p>
    <w:p w14:paraId="64537929" w14:textId="0AD4EA29" w:rsidR="00620F26" w:rsidRPr="00620F26" w:rsidRDefault="00620F26" w:rsidP="00620F26">
      <w:pPr>
        <w:spacing w:before="100" w:beforeAutospacing="1" w:after="100" w:afterAutospacing="1"/>
        <w:outlineLvl w:val="1"/>
        <w:rPr>
          <w:rFonts w:ascii="inherit" w:eastAsia="Times New Roman" w:hAnsi="inherit" w:cs="Times New Roman"/>
          <w:color w:val="3A4689"/>
          <w:sz w:val="44"/>
          <w:szCs w:val="44"/>
        </w:rPr>
      </w:pPr>
      <w:r w:rsidRPr="00620F26">
        <w:rPr>
          <w:rFonts w:ascii="inherit" w:eastAsia="Times New Roman" w:hAnsi="inherit" w:cs="Times New Roman"/>
          <w:color w:val="3A4689"/>
          <w:sz w:val="44"/>
          <w:szCs w:val="44"/>
        </w:rPr>
        <w:lastRenderedPageBreak/>
        <w:t>Are the Disclosure Rules the Same for All Committees and All Ads?</w:t>
      </w:r>
    </w:p>
    <w:p w14:paraId="715C0B1C" w14:textId="77777777" w:rsidR="00620F26" w:rsidRPr="00620F26" w:rsidRDefault="00620F26" w:rsidP="00620F26">
      <w:pPr>
        <w:spacing w:after="165"/>
        <w:rPr>
          <w:rFonts w:ascii="Lato" w:eastAsia="Times New Roman" w:hAnsi="Lato" w:cs="Times New Roman"/>
          <w:color w:val="333333"/>
        </w:rPr>
      </w:pPr>
      <w:r w:rsidRPr="00620F26">
        <w:rPr>
          <w:rFonts w:ascii="Lato" w:eastAsia="Times New Roman" w:hAnsi="Lato" w:cs="Times New Roman"/>
          <w:color w:val="333333"/>
        </w:rPr>
        <w:t>No. Basic disclosures apply to materials disseminated by a candidate for his or her own election because it is generally clear to the public that the candidate is sending the communication. Stricter ad disclosure rules apply to ballot measure and independent expenditure advertisements because it is less clear to the public who is responsible for these ads.</w:t>
      </w:r>
    </w:p>
    <w:p w14:paraId="73231C9E" w14:textId="2018C9E1" w:rsidR="00620F26" w:rsidRPr="00620F26" w:rsidRDefault="00620F26" w:rsidP="00620F26">
      <w:pPr>
        <w:rPr>
          <w:rFonts w:ascii="Lato" w:eastAsia="Times New Roman" w:hAnsi="Lato" w:cs="Times New Roman"/>
          <w:color w:val="333333"/>
        </w:rPr>
      </w:pPr>
      <w:r w:rsidRPr="00620F26">
        <w:rPr>
          <w:rFonts w:ascii="Lato" w:eastAsia="Times New Roman" w:hAnsi="Lato" w:cs="Times New Roman"/>
          <w:color w:val="333333"/>
        </w:rPr>
        <w:t>For more information on disclosures, see the </w:t>
      </w:r>
      <w:hyperlink r:id="rId18" w:history="1">
        <w:r w:rsidR="00DC3623" w:rsidRPr="00F07B6D">
          <w:rPr>
            <w:rStyle w:val="Hyperlink"/>
            <w:rFonts w:ascii="Lato" w:eastAsia="Times New Roman" w:hAnsi="Lato" w:cs="Times New Roman"/>
          </w:rPr>
          <w:t>Political Advertisement Disc</w:t>
        </w:r>
        <w:bookmarkStart w:id="0" w:name="_GoBack"/>
        <w:bookmarkEnd w:id="0"/>
        <w:r w:rsidR="00DC3623" w:rsidRPr="00F07B6D">
          <w:rPr>
            <w:rStyle w:val="Hyperlink"/>
            <w:rFonts w:ascii="Lato" w:eastAsia="Times New Roman" w:hAnsi="Lato" w:cs="Times New Roman"/>
          </w:rPr>
          <w:t>l</w:t>
        </w:r>
        <w:r w:rsidR="00DC3623" w:rsidRPr="00F07B6D">
          <w:rPr>
            <w:rStyle w:val="Hyperlink"/>
            <w:rFonts w:ascii="Lato" w:eastAsia="Times New Roman" w:hAnsi="Lato" w:cs="Times New Roman"/>
          </w:rPr>
          <w:t>osure Charts Overview</w:t>
        </w:r>
      </w:hyperlink>
      <w:r w:rsidRPr="00620F26">
        <w:rPr>
          <w:rFonts w:ascii="Lato" w:eastAsia="Times New Roman" w:hAnsi="Lato" w:cs="Times New Roman"/>
          <w:color w:val="333333"/>
        </w:rPr>
        <w:t>. If you still have questions, you can </w:t>
      </w:r>
      <w:hyperlink r:id="rId19" w:history="1">
        <w:r w:rsidR="00DC3623" w:rsidRPr="008A4CE8">
          <w:rPr>
            <w:rStyle w:val="Hyperlink"/>
            <w:rFonts w:ascii="Lato" w:eastAsia="Times New Roman" w:hAnsi="Lato" w:cs="Times New Roman"/>
          </w:rPr>
          <w:t xml:space="preserve">Ask the </w:t>
        </w:r>
        <w:proofErr w:type="spellStart"/>
        <w:r w:rsidR="00DC3623" w:rsidRPr="008A4CE8">
          <w:rPr>
            <w:rStyle w:val="Hyperlink"/>
            <w:rFonts w:ascii="Lato" w:eastAsia="Times New Roman" w:hAnsi="Lato" w:cs="Times New Roman"/>
          </w:rPr>
          <w:t>FPPC</w:t>
        </w:r>
        <w:proofErr w:type="spellEnd"/>
        <w:r w:rsidR="00DC3623" w:rsidRPr="008A4CE8">
          <w:rPr>
            <w:rStyle w:val="Hyperlink"/>
            <w:rFonts w:ascii="Lato" w:eastAsia="Times New Roman" w:hAnsi="Lato" w:cs="Times New Roman"/>
          </w:rPr>
          <w:t xml:space="preserve"> for Advice</w:t>
        </w:r>
      </w:hyperlink>
      <w:r w:rsidR="00DC3623">
        <w:rPr>
          <w:rFonts w:ascii="Lato" w:eastAsia="Times New Roman" w:hAnsi="Lato" w:cs="Times New Roman"/>
          <w:color w:val="3072AB"/>
          <w:u w:val="single"/>
        </w:rPr>
        <w:t xml:space="preserve"> </w:t>
      </w:r>
      <w:r w:rsidR="00DC3623" w:rsidRPr="000C06BF">
        <w:rPr>
          <w:rFonts w:ascii="Lato" w:eastAsia="Times New Roman" w:hAnsi="Lato" w:cs="Times New Roman"/>
          <w:color w:val="000000" w:themeColor="text1"/>
        </w:rPr>
        <w:t>or the</w:t>
      </w:r>
      <w:r w:rsidR="00DC3623" w:rsidRPr="000C06BF">
        <w:rPr>
          <w:rFonts w:ascii="Lato" w:eastAsia="Times New Roman" w:hAnsi="Lato" w:cs="Times New Roman"/>
          <w:color w:val="000000" w:themeColor="text1"/>
          <w:u w:val="single"/>
        </w:rPr>
        <w:t xml:space="preserve"> </w:t>
      </w:r>
      <w:hyperlink r:id="rId20" w:history="1">
        <w:r w:rsidR="00DC3623" w:rsidRPr="008A4CE8">
          <w:rPr>
            <w:rStyle w:val="Hyperlink"/>
            <w:rFonts w:ascii="Lato" w:eastAsia="Times New Roman" w:hAnsi="Lato" w:cs="Times New Roman"/>
          </w:rPr>
          <w:t>City Attorney’s San José Campaign Guidance hotline</w:t>
        </w:r>
      </w:hyperlink>
      <w:r w:rsidR="00DC3623" w:rsidRPr="00620F26">
        <w:rPr>
          <w:rFonts w:ascii="Lato" w:eastAsia="Times New Roman" w:hAnsi="Lato" w:cs="Times New Roman"/>
          <w:color w:val="3072AB"/>
          <w:u w:val="single"/>
        </w:rPr>
        <w:t>.</w:t>
      </w:r>
    </w:p>
    <w:p w14:paraId="544FF9D5" w14:textId="77777777" w:rsidR="00F76A95" w:rsidRDefault="00F76A95"/>
    <w:sectPr w:rsidR="00F76A9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3C5" w16cex:dateUtc="2022-01-27T19:43:00Z"/>
  <w16cex:commentExtensible w16cex:durableId="259D0434" w16cex:dateUtc="2022-01-27T19:44:00Z"/>
  <w16cex:commentExtensible w16cex:durableId="259D0485" w16cex:dateUtc="2022-01-27T19:46:00Z"/>
  <w16cex:commentExtensible w16cex:durableId="259D049F" w16cex:dateUtc="2022-01-27T19: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E791E" w14:textId="77777777" w:rsidR="00C34B23" w:rsidRDefault="00C34B23" w:rsidP="00A62D89">
      <w:r>
        <w:separator/>
      </w:r>
    </w:p>
  </w:endnote>
  <w:endnote w:type="continuationSeparator" w:id="0">
    <w:p w14:paraId="3D644F1B" w14:textId="77777777" w:rsidR="00C34B23" w:rsidRDefault="00C34B23" w:rsidP="00A6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4D70" w14:textId="77777777" w:rsidR="00A62D89" w:rsidRDefault="00A62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1744" w14:textId="77777777" w:rsidR="00A62D89" w:rsidRDefault="00A62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EBA30" w14:textId="77777777" w:rsidR="00A62D89" w:rsidRDefault="00A62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462C3" w14:textId="77777777" w:rsidR="00C34B23" w:rsidRDefault="00C34B23" w:rsidP="00A62D89">
      <w:r>
        <w:separator/>
      </w:r>
    </w:p>
  </w:footnote>
  <w:footnote w:type="continuationSeparator" w:id="0">
    <w:p w14:paraId="3E7340B3" w14:textId="77777777" w:rsidR="00C34B23" w:rsidRDefault="00C34B23" w:rsidP="00A6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0BD" w14:textId="412070A6" w:rsidR="00A62D89" w:rsidRDefault="00A62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CB745" w14:textId="148E5577" w:rsidR="00A62D89" w:rsidRDefault="00A62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5E1EA" w14:textId="6F58EA46" w:rsidR="00A62D89" w:rsidRDefault="00A62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D1876"/>
    <w:multiLevelType w:val="multilevel"/>
    <w:tmpl w:val="2450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26"/>
    <w:rsid w:val="000140A7"/>
    <w:rsid w:val="00054299"/>
    <w:rsid w:val="000C06BF"/>
    <w:rsid w:val="0021581D"/>
    <w:rsid w:val="003D0CE5"/>
    <w:rsid w:val="005459FA"/>
    <w:rsid w:val="005F5F99"/>
    <w:rsid w:val="00620F26"/>
    <w:rsid w:val="007E69AD"/>
    <w:rsid w:val="008A4CE8"/>
    <w:rsid w:val="009F3549"/>
    <w:rsid w:val="00A141DE"/>
    <w:rsid w:val="00A62D89"/>
    <w:rsid w:val="00C34B23"/>
    <w:rsid w:val="00C9236D"/>
    <w:rsid w:val="00C95EC1"/>
    <w:rsid w:val="00DA54C0"/>
    <w:rsid w:val="00DC3623"/>
    <w:rsid w:val="00E234DE"/>
    <w:rsid w:val="00E64107"/>
    <w:rsid w:val="00EF0257"/>
    <w:rsid w:val="00F07B6D"/>
    <w:rsid w:val="00F23242"/>
    <w:rsid w:val="00F7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6018D"/>
  <w15:chartTrackingRefBased/>
  <w15:docId w15:val="{6B39F8DD-3662-2A4E-9E15-80B506F9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0F2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0F2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F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0F2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0F2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20F26"/>
  </w:style>
  <w:style w:type="character" w:styleId="Hyperlink">
    <w:name w:val="Hyperlink"/>
    <w:basedOn w:val="DefaultParagraphFont"/>
    <w:uiPriority w:val="99"/>
    <w:unhideWhenUsed/>
    <w:rsid w:val="00620F26"/>
    <w:rPr>
      <w:color w:val="0000FF"/>
      <w:u w:val="single"/>
    </w:rPr>
  </w:style>
  <w:style w:type="paragraph" w:styleId="Revision">
    <w:name w:val="Revision"/>
    <w:hidden/>
    <w:uiPriority w:val="99"/>
    <w:semiHidden/>
    <w:rsid w:val="00620F26"/>
  </w:style>
  <w:style w:type="character" w:styleId="CommentReference">
    <w:name w:val="annotation reference"/>
    <w:basedOn w:val="DefaultParagraphFont"/>
    <w:uiPriority w:val="99"/>
    <w:semiHidden/>
    <w:unhideWhenUsed/>
    <w:rsid w:val="00EF0257"/>
    <w:rPr>
      <w:sz w:val="16"/>
      <w:szCs w:val="16"/>
    </w:rPr>
  </w:style>
  <w:style w:type="paragraph" w:styleId="CommentText">
    <w:name w:val="annotation text"/>
    <w:basedOn w:val="Normal"/>
    <w:link w:val="CommentTextChar"/>
    <w:uiPriority w:val="99"/>
    <w:semiHidden/>
    <w:unhideWhenUsed/>
    <w:rsid w:val="00EF0257"/>
    <w:rPr>
      <w:sz w:val="20"/>
      <w:szCs w:val="20"/>
    </w:rPr>
  </w:style>
  <w:style w:type="character" w:customStyle="1" w:styleId="CommentTextChar">
    <w:name w:val="Comment Text Char"/>
    <w:basedOn w:val="DefaultParagraphFont"/>
    <w:link w:val="CommentText"/>
    <w:uiPriority w:val="99"/>
    <w:semiHidden/>
    <w:rsid w:val="00EF0257"/>
    <w:rPr>
      <w:sz w:val="20"/>
      <w:szCs w:val="20"/>
    </w:rPr>
  </w:style>
  <w:style w:type="paragraph" w:styleId="CommentSubject">
    <w:name w:val="annotation subject"/>
    <w:basedOn w:val="CommentText"/>
    <w:next w:val="CommentText"/>
    <w:link w:val="CommentSubjectChar"/>
    <w:uiPriority w:val="99"/>
    <w:semiHidden/>
    <w:unhideWhenUsed/>
    <w:rsid w:val="00EF0257"/>
    <w:rPr>
      <w:b/>
      <w:bCs/>
    </w:rPr>
  </w:style>
  <w:style w:type="character" w:customStyle="1" w:styleId="CommentSubjectChar">
    <w:name w:val="Comment Subject Char"/>
    <w:basedOn w:val="CommentTextChar"/>
    <w:link w:val="CommentSubject"/>
    <w:uiPriority w:val="99"/>
    <w:semiHidden/>
    <w:rsid w:val="00EF0257"/>
    <w:rPr>
      <w:b/>
      <w:bCs/>
      <w:sz w:val="20"/>
      <w:szCs w:val="20"/>
    </w:rPr>
  </w:style>
  <w:style w:type="paragraph" w:styleId="Header">
    <w:name w:val="header"/>
    <w:basedOn w:val="Normal"/>
    <w:link w:val="HeaderChar"/>
    <w:uiPriority w:val="99"/>
    <w:unhideWhenUsed/>
    <w:rsid w:val="00A62D89"/>
    <w:pPr>
      <w:tabs>
        <w:tab w:val="center" w:pos="4680"/>
        <w:tab w:val="right" w:pos="9360"/>
      </w:tabs>
    </w:pPr>
  </w:style>
  <w:style w:type="character" w:customStyle="1" w:styleId="HeaderChar">
    <w:name w:val="Header Char"/>
    <w:basedOn w:val="DefaultParagraphFont"/>
    <w:link w:val="Header"/>
    <w:uiPriority w:val="99"/>
    <w:rsid w:val="00A62D89"/>
  </w:style>
  <w:style w:type="paragraph" w:styleId="Footer">
    <w:name w:val="footer"/>
    <w:basedOn w:val="Normal"/>
    <w:link w:val="FooterChar"/>
    <w:uiPriority w:val="99"/>
    <w:unhideWhenUsed/>
    <w:rsid w:val="00A62D89"/>
    <w:pPr>
      <w:tabs>
        <w:tab w:val="center" w:pos="4680"/>
        <w:tab w:val="right" w:pos="9360"/>
      </w:tabs>
    </w:pPr>
  </w:style>
  <w:style w:type="character" w:customStyle="1" w:styleId="FooterChar">
    <w:name w:val="Footer Char"/>
    <w:basedOn w:val="DefaultParagraphFont"/>
    <w:link w:val="Footer"/>
    <w:uiPriority w:val="99"/>
    <w:rsid w:val="00A62D89"/>
  </w:style>
  <w:style w:type="paragraph" w:styleId="BalloonText">
    <w:name w:val="Balloon Text"/>
    <w:basedOn w:val="Normal"/>
    <w:link w:val="BalloonTextChar"/>
    <w:uiPriority w:val="99"/>
    <w:semiHidden/>
    <w:unhideWhenUsed/>
    <w:rsid w:val="00C95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EC1"/>
    <w:rPr>
      <w:rFonts w:ascii="Segoe UI" w:hAnsi="Segoe UI" w:cs="Segoe UI"/>
      <w:sz w:val="18"/>
      <w:szCs w:val="18"/>
    </w:rPr>
  </w:style>
  <w:style w:type="character" w:styleId="UnresolvedMention">
    <w:name w:val="Unresolved Mention"/>
    <w:basedOn w:val="DefaultParagraphFont"/>
    <w:uiPriority w:val="99"/>
    <w:semiHidden/>
    <w:unhideWhenUsed/>
    <w:rsid w:val="00C95EC1"/>
    <w:rPr>
      <w:color w:val="605E5C"/>
      <w:shd w:val="clear" w:color="auto" w:fill="E1DFDD"/>
    </w:rPr>
  </w:style>
  <w:style w:type="character" w:styleId="FollowedHyperlink">
    <w:name w:val="FollowedHyperlink"/>
    <w:basedOn w:val="DefaultParagraphFont"/>
    <w:uiPriority w:val="99"/>
    <w:semiHidden/>
    <w:unhideWhenUsed/>
    <w:rsid w:val="00A14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637405">
      <w:bodyDiv w:val="1"/>
      <w:marLeft w:val="0"/>
      <w:marRight w:val="0"/>
      <w:marTop w:val="0"/>
      <w:marBottom w:val="0"/>
      <w:divBdr>
        <w:top w:val="none" w:sz="0" w:space="0" w:color="auto"/>
        <w:left w:val="none" w:sz="0" w:space="0" w:color="auto"/>
        <w:bottom w:val="none" w:sz="0" w:space="0" w:color="auto"/>
        <w:right w:val="none" w:sz="0" w:space="0" w:color="auto"/>
      </w:divBdr>
      <w:divsChild>
        <w:div w:id="680157644">
          <w:marLeft w:val="0"/>
          <w:marRight w:val="0"/>
          <w:marTop w:val="0"/>
          <w:marBottom w:val="0"/>
          <w:divBdr>
            <w:top w:val="none" w:sz="0" w:space="0" w:color="auto"/>
            <w:left w:val="none" w:sz="0" w:space="0" w:color="auto"/>
            <w:bottom w:val="none" w:sz="0" w:space="0" w:color="auto"/>
            <w:right w:val="none" w:sz="0" w:space="0" w:color="auto"/>
          </w:divBdr>
        </w:div>
        <w:div w:id="1784472">
          <w:marLeft w:val="0"/>
          <w:marRight w:val="0"/>
          <w:marTop w:val="0"/>
          <w:marBottom w:val="0"/>
          <w:divBdr>
            <w:top w:val="none" w:sz="0" w:space="0" w:color="auto"/>
            <w:left w:val="none" w:sz="0" w:space="0" w:color="auto"/>
            <w:bottom w:val="none" w:sz="0" w:space="0" w:color="auto"/>
            <w:right w:val="none" w:sz="0" w:space="0" w:color="auto"/>
          </w:divBdr>
          <w:divsChild>
            <w:div w:id="1811559404">
              <w:marLeft w:val="0"/>
              <w:marRight w:val="0"/>
              <w:marTop w:val="0"/>
              <w:marBottom w:val="0"/>
              <w:divBdr>
                <w:top w:val="none" w:sz="0" w:space="0" w:color="auto"/>
                <w:left w:val="none" w:sz="0" w:space="0" w:color="auto"/>
                <w:bottom w:val="none" w:sz="0" w:space="0" w:color="auto"/>
                <w:right w:val="none" w:sz="0" w:space="0" w:color="auto"/>
              </w:divBdr>
            </w:div>
          </w:divsChild>
        </w:div>
        <w:div w:id="1753314033">
          <w:marLeft w:val="0"/>
          <w:marRight w:val="0"/>
          <w:marTop w:val="0"/>
          <w:marBottom w:val="0"/>
          <w:divBdr>
            <w:top w:val="none" w:sz="0" w:space="0" w:color="auto"/>
            <w:left w:val="none" w:sz="0" w:space="0" w:color="auto"/>
            <w:bottom w:val="none" w:sz="0" w:space="0" w:color="auto"/>
            <w:right w:val="none" w:sz="0" w:space="0" w:color="auto"/>
          </w:divBdr>
        </w:div>
        <w:div w:id="1981881690">
          <w:marLeft w:val="0"/>
          <w:marRight w:val="0"/>
          <w:marTop w:val="0"/>
          <w:marBottom w:val="0"/>
          <w:divBdr>
            <w:top w:val="none" w:sz="0" w:space="0" w:color="auto"/>
            <w:left w:val="none" w:sz="0" w:space="0" w:color="auto"/>
            <w:bottom w:val="none" w:sz="0" w:space="0" w:color="auto"/>
            <w:right w:val="none" w:sz="0" w:space="0" w:color="auto"/>
          </w:divBdr>
          <w:divsChild>
            <w:div w:id="1338389691">
              <w:marLeft w:val="0"/>
              <w:marRight w:val="0"/>
              <w:marTop w:val="0"/>
              <w:marBottom w:val="0"/>
              <w:divBdr>
                <w:top w:val="none" w:sz="0" w:space="0" w:color="auto"/>
                <w:left w:val="none" w:sz="0" w:space="0" w:color="auto"/>
                <w:bottom w:val="none" w:sz="0" w:space="0" w:color="auto"/>
                <w:right w:val="none" w:sz="0" w:space="0" w:color="auto"/>
              </w:divBdr>
            </w:div>
          </w:divsChild>
        </w:div>
        <w:div w:id="507212204">
          <w:marLeft w:val="0"/>
          <w:marRight w:val="0"/>
          <w:marTop w:val="0"/>
          <w:marBottom w:val="0"/>
          <w:divBdr>
            <w:top w:val="none" w:sz="0" w:space="0" w:color="auto"/>
            <w:left w:val="none" w:sz="0" w:space="0" w:color="auto"/>
            <w:bottom w:val="none" w:sz="0" w:space="0" w:color="auto"/>
            <w:right w:val="none" w:sz="0" w:space="0" w:color="auto"/>
          </w:divBdr>
        </w:div>
        <w:div w:id="1563908711">
          <w:marLeft w:val="0"/>
          <w:marRight w:val="0"/>
          <w:marTop w:val="0"/>
          <w:marBottom w:val="0"/>
          <w:divBdr>
            <w:top w:val="none" w:sz="0" w:space="0" w:color="auto"/>
            <w:left w:val="none" w:sz="0" w:space="0" w:color="auto"/>
            <w:bottom w:val="none" w:sz="0" w:space="0" w:color="auto"/>
            <w:right w:val="none" w:sz="0" w:space="0" w:color="auto"/>
          </w:divBdr>
          <w:divsChild>
            <w:div w:id="2028561117">
              <w:marLeft w:val="0"/>
              <w:marRight w:val="0"/>
              <w:marTop w:val="0"/>
              <w:marBottom w:val="0"/>
              <w:divBdr>
                <w:top w:val="none" w:sz="0" w:space="0" w:color="auto"/>
                <w:left w:val="none" w:sz="0" w:space="0" w:color="auto"/>
                <w:bottom w:val="none" w:sz="0" w:space="0" w:color="auto"/>
                <w:right w:val="none" w:sz="0" w:space="0" w:color="auto"/>
              </w:divBdr>
            </w:div>
          </w:divsChild>
        </w:div>
        <w:div w:id="1036664022">
          <w:marLeft w:val="0"/>
          <w:marRight w:val="0"/>
          <w:marTop w:val="0"/>
          <w:marBottom w:val="0"/>
          <w:divBdr>
            <w:top w:val="none" w:sz="0" w:space="0" w:color="auto"/>
            <w:left w:val="none" w:sz="0" w:space="0" w:color="auto"/>
            <w:bottom w:val="none" w:sz="0" w:space="0" w:color="auto"/>
            <w:right w:val="none" w:sz="0" w:space="0" w:color="auto"/>
          </w:divBdr>
        </w:div>
        <w:div w:id="1294939765">
          <w:marLeft w:val="0"/>
          <w:marRight w:val="0"/>
          <w:marTop w:val="0"/>
          <w:marBottom w:val="0"/>
          <w:divBdr>
            <w:top w:val="none" w:sz="0" w:space="0" w:color="auto"/>
            <w:left w:val="none" w:sz="0" w:space="0" w:color="auto"/>
            <w:bottom w:val="none" w:sz="0" w:space="0" w:color="auto"/>
            <w:right w:val="none" w:sz="0" w:space="0" w:color="auto"/>
          </w:divBdr>
          <w:divsChild>
            <w:div w:id="1810200860">
              <w:marLeft w:val="0"/>
              <w:marRight w:val="0"/>
              <w:marTop w:val="0"/>
              <w:marBottom w:val="0"/>
              <w:divBdr>
                <w:top w:val="none" w:sz="0" w:space="0" w:color="auto"/>
                <w:left w:val="none" w:sz="0" w:space="0" w:color="auto"/>
                <w:bottom w:val="none" w:sz="0" w:space="0" w:color="auto"/>
                <w:right w:val="none" w:sz="0" w:space="0" w:color="auto"/>
              </w:divBdr>
            </w:div>
          </w:divsChild>
        </w:div>
        <w:div w:id="1370450084">
          <w:marLeft w:val="0"/>
          <w:marRight w:val="0"/>
          <w:marTop w:val="0"/>
          <w:marBottom w:val="0"/>
          <w:divBdr>
            <w:top w:val="none" w:sz="0" w:space="0" w:color="auto"/>
            <w:left w:val="none" w:sz="0" w:space="0" w:color="auto"/>
            <w:bottom w:val="none" w:sz="0" w:space="0" w:color="auto"/>
            <w:right w:val="none" w:sz="0" w:space="0" w:color="auto"/>
          </w:divBdr>
        </w:div>
        <w:div w:id="864100650">
          <w:marLeft w:val="0"/>
          <w:marRight w:val="0"/>
          <w:marTop w:val="0"/>
          <w:marBottom w:val="0"/>
          <w:divBdr>
            <w:top w:val="none" w:sz="0" w:space="0" w:color="auto"/>
            <w:left w:val="none" w:sz="0" w:space="0" w:color="auto"/>
            <w:bottom w:val="none" w:sz="0" w:space="0" w:color="auto"/>
            <w:right w:val="none" w:sz="0" w:space="0" w:color="auto"/>
          </w:divBdr>
          <w:divsChild>
            <w:div w:id="66585428">
              <w:marLeft w:val="0"/>
              <w:marRight w:val="0"/>
              <w:marTop w:val="0"/>
              <w:marBottom w:val="0"/>
              <w:divBdr>
                <w:top w:val="none" w:sz="0" w:space="0" w:color="auto"/>
                <w:left w:val="none" w:sz="0" w:space="0" w:color="auto"/>
                <w:bottom w:val="none" w:sz="0" w:space="0" w:color="auto"/>
                <w:right w:val="none" w:sz="0" w:space="0" w:color="auto"/>
              </w:divBdr>
            </w:div>
          </w:divsChild>
        </w:div>
        <w:div w:id="1604146476">
          <w:marLeft w:val="0"/>
          <w:marRight w:val="0"/>
          <w:marTop w:val="0"/>
          <w:marBottom w:val="0"/>
          <w:divBdr>
            <w:top w:val="none" w:sz="0" w:space="0" w:color="auto"/>
            <w:left w:val="none" w:sz="0" w:space="0" w:color="auto"/>
            <w:bottom w:val="none" w:sz="0" w:space="0" w:color="auto"/>
            <w:right w:val="none" w:sz="0" w:space="0" w:color="auto"/>
          </w:divBdr>
        </w:div>
        <w:div w:id="2145846155">
          <w:marLeft w:val="0"/>
          <w:marRight w:val="0"/>
          <w:marTop w:val="0"/>
          <w:marBottom w:val="0"/>
          <w:divBdr>
            <w:top w:val="none" w:sz="0" w:space="0" w:color="auto"/>
            <w:left w:val="none" w:sz="0" w:space="0" w:color="auto"/>
            <w:bottom w:val="none" w:sz="0" w:space="0" w:color="auto"/>
            <w:right w:val="none" w:sz="0" w:space="0" w:color="auto"/>
          </w:divBdr>
          <w:divsChild>
            <w:div w:id="491218761">
              <w:marLeft w:val="0"/>
              <w:marRight w:val="0"/>
              <w:marTop w:val="0"/>
              <w:marBottom w:val="0"/>
              <w:divBdr>
                <w:top w:val="none" w:sz="0" w:space="0" w:color="auto"/>
                <w:left w:val="none" w:sz="0" w:space="0" w:color="auto"/>
                <w:bottom w:val="none" w:sz="0" w:space="0" w:color="auto"/>
                <w:right w:val="none" w:sz="0" w:space="0" w:color="auto"/>
              </w:divBdr>
            </w:div>
          </w:divsChild>
        </w:div>
        <w:div w:id="444737191">
          <w:marLeft w:val="0"/>
          <w:marRight w:val="0"/>
          <w:marTop w:val="0"/>
          <w:marBottom w:val="0"/>
          <w:divBdr>
            <w:top w:val="none" w:sz="0" w:space="0" w:color="auto"/>
            <w:left w:val="none" w:sz="0" w:space="0" w:color="auto"/>
            <w:bottom w:val="none" w:sz="0" w:space="0" w:color="auto"/>
            <w:right w:val="none" w:sz="0" w:space="0" w:color="auto"/>
          </w:divBdr>
          <w:divsChild>
            <w:div w:id="1344018975">
              <w:marLeft w:val="0"/>
              <w:marRight w:val="0"/>
              <w:marTop w:val="0"/>
              <w:marBottom w:val="0"/>
              <w:divBdr>
                <w:top w:val="none" w:sz="0" w:space="0" w:color="auto"/>
                <w:left w:val="none" w:sz="0" w:space="0" w:color="auto"/>
                <w:bottom w:val="none" w:sz="0" w:space="0" w:color="auto"/>
                <w:right w:val="none" w:sz="0" w:space="0" w:color="auto"/>
              </w:divBdr>
              <w:divsChild>
                <w:div w:id="644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njoseca.gov/home/showdocument?id=81542&amp;t=637788683621090670" TargetMode="External"/><Relationship Id="rId18" Type="http://schemas.openxmlformats.org/officeDocument/2006/relationships/hyperlink" Target="https://www.sanjoseca.gov/home/showdocument?id=82157&amp;t=637801802366176455"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anjoseca.gov/home/showdocument?id=81540&amp;t=637788683608903070" TargetMode="External"/><Relationship Id="rId17" Type="http://schemas.openxmlformats.org/officeDocument/2006/relationships/hyperlink" Target="https://www.sanjoseca.gov/home/showdocument?id=81550&amp;t=637788683654529245"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anjoseca.gov/home/showdocument?id=81548&amp;t=637788683646559880" TargetMode="External"/><Relationship Id="rId20" Type="http://schemas.openxmlformats.org/officeDocument/2006/relationships/hyperlink" Target="https://www.sanjoseca.gov/your-government/departments/office-of-the-city-attorney/campaign-guidanc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njoseca.gov/home/showdocument?id=81538&amp;t=63778868359968419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anjoseca.gov/home/showdocument?id=81546&amp;t=63778868364093478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ppc.ca.gov/advic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joseca.gov/home/showdocument?id=81544&amp;t=63778868363218458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D4F977EB71340AC3BBDAF1C45517C" ma:contentTypeVersion="8" ma:contentTypeDescription="Create a new document." ma:contentTypeScope="" ma:versionID="aaa20d36106ed435ff90def63bfdbff2">
  <xsd:schema xmlns:xsd="http://www.w3.org/2001/XMLSchema" xmlns:xs="http://www.w3.org/2001/XMLSchema" xmlns:p="http://schemas.microsoft.com/office/2006/metadata/properties" xmlns:ns3="d48d22aa-9749-4124-9f1e-963753ce0033" targetNamespace="http://schemas.microsoft.com/office/2006/metadata/properties" ma:root="true" ma:fieldsID="9e9d1948a5aa9c7d15feeba0c1e7f33f" ns3:_="">
    <xsd:import namespace="d48d22aa-9749-4124-9f1e-963753ce00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22aa-9749-4124-9f1e-963753ce0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BA22-1AB4-4DB4-80C3-3EFFDCA35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22aa-9749-4124-9f1e-963753ce0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F0328-3C3E-4ABB-AE6F-48CF0399B90C}">
  <ds:schemaRefs>
    <ds:schemaRef ds:uri="http://schemas.microsoft.com/sharepoint/v3/contenttype/forms"/>
  </ds:schemaRefs>
</ds:datastoreItem>
</file>

<file path=customXml/itemProps3.xml><?xml version="1.0" encoding="utf-8"?>
<ds:datastoreItem xmlns:ds="http://schemas.openxmlformats.org/officeDocument/2006/customXml" ds:itemID="{9254DA88-5C20-45AA-9A8D-88A94639AD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7D9699-CE52-4296-8135-E70D8077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 Mark</dc:creator>
  <cp:keywords/>
  <dc:description/>
  <cp:lastModifiedBy>Roche, Megan</cp:lastModifiedBy>
  <cp:revision>4</cp:revision>
  <dcterms:created xsi:type="dcterms:W3CDTF">2022-01-31T21:43:00Z</dcterms:created>
  <dcterms:modified xsi:type="dcterms:W3CDTF">2022-02-11T20:46:00Z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0x0101004D3D4F977EB71340AC3BBDAF1C45517C</vt:lpwstr>
  </property>
</Properties>
</file>